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1DF21" w14:textId="7924B6C6" w:rsidR="00AD6881" w:rsidRPr="008B4DB2" w:rsidRDefault="00E860E7" w:rsidP="008B4DB2">
      <w:pPr>
        <w:pStyle w:val="Title"/>
        <w:jc w:val="center"/>
      </w:pPr>
      <w:bookmarkStart w:id="0" w:name="OLE_LINK1"/>
      <w:bookmarkStart w:id="1" w:name="OLE_LINK2"/>
      <w:r w:rsidRPr="008B4DB2">
        <w:t xml:space="preserve">Follow-up </w:t>
      </w:r>
      <w:r w:rsidR="00291B7B" w:rsidRPr="008B4DB2">
        <w:t xml:space="preserve">Report </w:t>
      </w:r>
      <w:r w:rsidR="00AB15A1" w:rsidRPr="008B4DB2">
        <w:t>in Response</w:t>
      </w:r>
    </w:p>
    <w:p w14:paraId="4789C0BE" w14:textId="77777777" w:rsidR="00291B7B" w:rsidRPr="008B4DB2" w:rsidRDefault="00291B7B" w:rsidP="008B4DB2">
      <w:pPr>
        <w:pStyle w:val="Title"/>
        <w:jc w:val="center"/>
      </w:pPr>
      <w:r w:rsidRPr="008B4DB2">
        <w:t xml:space="preserve">to </w:t>
      </w:r>
      <w:r w:rsidR="00D54929" w:rsidRPr="008B4DB2">
        <w:t xml:space="preserve">March 2018 </w:t>
      </w:r>
      <w:r w:rsidRPr="008B4DB2">
        <w:t xml:space="preserve">WSCUC </w:t>
      </w:r>
      <w:r w:rsidR="00D54929" w:rsidRPr="008B4DB2">
        <w:t>Action Letter</w:t>
      </w:r>
    </w:p>
    <w:p w14:paraId="0AB40501" w14:textId="3F420860" w:rsidR="007F1203" w:rsidRDefault="007F1203" w:rsidP="007F1203">
      <w:pPr>
        <w:pStyle w:val="Default"/>
      </w:pPr>
    </w:p>
    <w:p w14:paraId="3730B1E2" w14:textId="0D9FEFE1" w:rsidR="00457EE1" w:rsidRDefault="00457EE1">
      <w:pPr>
        <w:rPr>
          <w:b/>
          <w:sz w:val="28"/>
          <w:u w:val="single"/>
        </w:rPr>
      </w:pPr>
      <w:r>
        <w:rPr>
          <w:rFonts w:ascii="Times New Roman"/>
          <w:noProof/>
          <w:sz w:val="20"/>
        </w:rPr>
        <w:drawing>
          <wp:inline distT="0" distB="0" distL="0" distR="0" wp14:anchorId="42E981A4" wp14:editId="6C88C05F">
            <wp:extent cx="5943600" cy="3071016"/>
            <wp:effectExtent l="0" t="0" r="0" b="0"/>
            <wp:docPr id="15" name="image2.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5943600" cy="3071016"/>
                    </a:xfrm>
                    <a:prstGeom prst="rect">
                      <a:avLst/>
                    </a:prstGeom>
                  </pic:spPr>
                </pic:pic>
              </a:graphicData>
            </a:graphic>
          </wp:inline>
        </w:drawing>
      </w:r>
    </w:p>
    <w:p w14:paraId="138F8C64" w14:textId="77777777" w:rsidR="00F9301A" w:rsidRDefault="00F9301A" w:rsidP="00F9301A">
      <w:pPr>
        <w:pStyle w:val="BodyText"/>
        <w:spacing w:before="1"/>
        <w:jc w:val="center"/>
        <w:rPr>
          <w:rFonts w:asciiTheme="minorHAnsi" w:hAnsiTheme="minorHAnsi" w:cstheme="minorHAnsi"/>
          <w:b/>
          <w:color w:val="0C0808"/>
        </w:rPr>
      </w:pPr>
    </w:p>
    <w:p w14:paraId="01F7555C" w14:textId="1B1655C7" w:rsidR="00457EE1" w:rsidRDefault="00457EE1" w:rsidP="002439AA">
      <w:pPr>
        <w:pStyle w:val="Heading1"/>
        <w:jc w:val="center"/>
      </w:pPr>
      <w:r w:rsidRPr="00A62848">
        <w:t>Contact</w:t>
      </w:r>
      <w:r w:rsidR="00247B08">
        <w:t>:</w:t>
      </w:r>
    </w:p>
    <w:p w14:paraId="42E58112" w14:textId="77777777" w:rsidR="002439AA" w:rsidRPr="002439AA" w:rsidRDefault="002439AA" w:rsidP="002439AA"/>
    <w:p w14:paraId="104A3AD6" w14:textId="5FD63B2B" w:rsidR="00457EE1" w:rsidRPr="002439AA" w:rsidRDefault="00457EE1" w:rsidP="002439AA">
      <w:pPr>
        <w:jc w:val="center"/>
      </w:pPr>
      <w:r w:rsidRPr="002439AA">
        <w:t xml:space="preserve">Karen </w:t>
      </w:r>
      <w:proofErr w:type="spellStart"/>
      <w:r w:rsidRPr="002439AA">
        <w:t>Moranski</w:t>
      </w:r>
      <w:proofErr w:type="spellEnd"/>
    </w:p>
    <w:p w14:paraId="08926B77" w14:textId="527CDC25" w:rsidR="00457EE1" w:rsidRPr="002439AA" w:rsidRDefault="00457EE1" w:rsidP="002439AA">
      <w:pPr>
        <w:jc w:val="center"/>
      </w:pPr>
      <w:r w:rsidRPr="002439AA">
        <w:t>Interim Provost and</w:t>
      </w:r>
      <w:r w:rsidR="002439AA">
        <w:t xml:space="preserve"> </w:t>
      </w:r>
      <w:r w:rsidRPr="002439AA">
        <w:rPr>
          <w:spacing w:val="-3"/>
        </w:rPr>
        <w:t xml:space="preserve">Vice </w:t>
      </w:r>
      <w:r w:rsidRPr="002439AA">
        <w:t>President of Academic Affairs</w:t>
      </w:r>
    </w:p>
    <w:p w14:paraId="2CD0C2FB" w14:textId="069027EA" w:rsidR="00797041" w:rsidRPr="002439AA" w:rsidRDefault="00797041" w:rsidP="002439AA">
      <w:pPr>
        <w:jc w:val="center"/>
      </w:pPr>
      <w:r w:rsidRPr="002439AA">
        <w:t>WSCUC Accreditation Liaison Officer</w:t>
      </w:r>
    </w:p>
    <w:p w14:paraId="74315AD1" w14:textId="403EE1EA" w:rsidR="00457EE1" w:rsidRPr="002439AA" w:rsidRDefault="004F2E57" w:rsidP="002439AA">
      <w:pPr>
        <w:jc w:val="center"/>
      </w:pPr>
      <w:hyperlink r:id="rId9">
        <w:r w:rsidR="00457EE1" w:rsidRPr="002439AA">
          <w:t>moranski@sonoma.edu</w:t>
        </w:r>
      </w:hyperlink>
    </w:p>
    <w:p w14:paraId="1D71C507" w14:textId="65B764ED" w:rsidR="00247B08" w:rsidRPr="00A62848" w:rsidRDefault="00247B08" w:rsidP="00457EE1">
      <w:pPr>
        <w:pStyle w:val="BodyText"/>
        <w:spacing w:before="9"/>
        <w:rPr>
          <w:sz w:val="10"/>
        </w:rPr>
      </w:pPr>
      <w:r>
        <w:rPr>
          <w:noProof/>
        </w:rPr>
        <mc:AlternateContent>
          <mc:Choice Requires="wps">
            <w:drawing>
              <wp:anchor distT="0" distB="0" distL="0" distR="0" simplePos="0" relativeHeight="251665408" behindDoc="1" locked="0" layoutInCell="1" allowOverlap="1" wp14:anchorId="6969D152" wp14:editId="16F87A8A">
                <wp:simplePos x="0" y="0"/>
                <wp:positionH relativeFrom="page">
                  <wp:posOffset>3187700</wp:posOffset>
                </wp:positionH>
                <wp:positionV relativeFrom="paragraph">
                  <wp:posOffset>156845</wp:posOffset>
                </wp:positionV>
                <wp:extent cx="1454150" cy="1270"/>
                <wp:effectExtent l="0" t="0" r="12700" b="17780"/>
                <wp:wrapTopAndBottom/>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54150" cy="1270"/>
                        </a:xfrm>
                        <a:custGeom>
                          <a:avLst/>
                          <a:gdLst>
                            <a:gd name="T0" fmla="+- 0 5010 5010"/>
                            <a:gd name="T1" fmla="*/ T0 w 2290"/>
                            <a:gd name="T2" fmla="+- 0 7300 5010"/>
                            <a:gd name="T3" fmla="*/ T2 w 2290"/>
                          </a:gdLst>
                          <a:ahLst/>
                          <a:cxnLst>
                            <a:cxn ang="0">
                              <a:pos x="T1" y="0"/>
                            </a:cxn>
                            <a:cxn ang="0">
                              <a:pos x="T3" y="0"/>
                            </a:cxn>
                          </a:cxnLst>
                          <a:rect l="0" t="0" r="r" b="b"/>
                          <a:pathLst>
                            <a:path w="2290">
                              <a:moveTo>
                                <a:pt x="0" y="0"/>
                              </a:moveTo>
                              <a:lnTo>
                                <a:pt x="2290" y="0"/>
                              </a:lnTo>
                            </a:path>
                          </a:pathLst>
                        </a:custGeom>
                        <a:noFill/>
                        <a:ln w="6350">
                          <a:solidFill>
                            <a:srgbClr val="0C080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F7C91" id="Freeform 17" o:spid="_x0000_s1026" style="position:absolute;margin-left:251pt;margin-top:12.35pt;width:114.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ZBwMAAKYGAAAOAAAAZHJzL2Uyb0RvYy54bWysVduO0zAQfUfiHyw/grq5NL1Fm65Q0yKk&#10;BVba8gFu4jQRjm1st+mC+HfGTtJNuyAhxD547cz4zJkznunt3alm6EiVrgRPcHDjY0R5JvKK7xP8&#10;ZbsZzTHShvCcMMFpgp+oxnfL169uGxnTUJSC5VQhAOE6bmSCS2Nk7Hk6K2lN9I2QlIOxEKomBo5q&#10;7+WKNIBeMy/0/anXCJVLJTKqNXxNWyNeOvyioJn5XBSaGsQSDNyMW5Vbd3b1lrck3isiyyrraJB/&#10;YFGTikPQM1RKDEEHVb2AqqtMCS0Kc5OJ2hNFUWXU5QDZBP5VNo8lkdTlAuJoeZZJ/z/Y7NPxQaEq&#10;h9rNMOKkhhptFKVWcQSfQJ9G6hjcHuWDshlqeS+yrxoM3oXFHjT4oF3zUeQAQw5GOE1OhartTcgW&#10;nZz0T2fp6cmgDD4G0SQKJlChDGxBOHOV8Ujc380O2rynwuGQ4702beFy2DnZ8477FiCKmkEN346Q&#10;jyYgqlu6Qp/dgt7tjYe2PmpQGC7613B2CnsnhzUb+7/HGvduFiscYAH/fc+QlD3p7MQ71rBDxDaK&#10;73SSQlt9tsCtFwgQwMlm+AdfiH3t297pQijogOu3rzCCt79rJZHEWGY2hN2iJsFOCvuhFke6Fc5k&#10;rioHQZ6tjA+93PUhq9YMN2wAeDbtxgW1XAeV5WJTMeZKy7ilMh3Dm7AEtGBVbo3uoPa7FVPoSGxX&#10;r/y5P7fJANiFm1TapESXrZ8ztTkrceC5i1JSkq+7vSEVa/cAxJzo8Do7bew7df38Y+Ev1vP1PBpF&#10;4XQ9ivw0Hb3brKLRdBPMJuk4Xa3S4KflHERxWeU55ZZ2P1uC6O96t5ty7VQ4T5eL9PRQhY37e6mC&#10;d0nDiQS59P/bIvSt2/b6TuRP0MZKtMMShjtsSqG+Y9TAoEyw/nYgimLEPnCYRIsgiuxkdYdoMgvh&#10;oIaW3dBCeAZQCTYYXr7drkw7jQ9SVfsSIgWu3ly8g/FRVLbP3ZxpWXUHGIYug25w22k7PDuv55+X&#10;5S8AAAD//wMAUEsDBBQABgAIAAAAIQAdAVHO3AAAAAkBAAAPAAAAZHJzL2Rvd25yZXYueG1sTI/B&#10;TsMwEETvSPyDtUjcqJMALQlxKlQE4tgWPsCNN3FEvI5ipw18PdtTOe7saOZNuZ5dL444hs6TgnSR&#10;gECqvemoVfD1+Xb3BCJETUb3nlDBDwZYV9dXpS6MP9EOj/vYCg6hUGgFNsahkDLUFp0OCz8g8a/x&#10;o9ORz7GVZtQnDne9zJJkKZ3uiBusHnBjsf7eT04BffRNk0fMtzu7fP1NJ7fFzbtStzfzyzOIiHO8&#10;mOGMz+hQMdPBT2SC6BU8JhlviQqyhxUINqzuUxYOZyEHWZXy/4LqDwAA//8DAFBLAQItABQABgAI&#10;AAAAIQC2gziS/gAAAOEBAAATAAAAAAAAAAAAAAAAAAAAAABbQ29udGVudF9UeXBlc10ueG1sUEsB&#10;Ai0AFAAGAAgAAAAhADj9If/WAAAAlAEAAAsAAAAAAAAAAAAAAAAALwEAAF9yZWxzLy5yZWxzUEsB&#10;Ai0AFAAGAAgAAAAhABh7P5kHAwAApgYAAA4AAAAAAAAAAAAAAAAALgIAAGRycy9lMm9Eb2MueG1s&#10;UEsBAi0AFAAGAAgAAAAhAB0BUc7cAAAACQEAAA8AAAAAAAAAAAAAAAAAYQUAAGRycy9kb3ducmV2&#10;LnhtbFBLBQYAAAAABAAEAPMAAABqBgAAAAA=&#10;" path="m,l2290,e" filled="f" strokecolor="#0c0808" strokeweight=".5pt">
                <v:path arrowok="t" o:connecttype="custom" o:connectlocs="0,0;1454150,0" o:connectangles="0,0"/>
                <w10:wrap type="topAndBottom" anchorx="page"/>
              </v:shape>
            </w:pict>
          </mc:Fallback>
        </mc:AlternateContent>
      </w:r>
    </w:p>
    <w:p w14:paraId="247609AA" w14:textId="3567AF28" w:rsidR="00457EE1" w:rsidRDefault="00457EE1" w:rsidP="00457EE1">
      <w:pPr>
        <w:pStyle w:val="BodyText"/>
        <w:spacing w:before="9"/>
        <w:rPr>
          <w:sz w:val="8"/>
        </w:rPr>
      </w:pPr>
    </w:p>
    <w:p w14:paraId="34C8D014" w14:textId="1BCCAADA" w:rsidR="00457EE1" w:rsidRDefault="00F9301A" w:rsidP="00F9301A">
      <w:pPr>
        <w:jc w:val="center"/>
        <w:rPr>
          <w:b/>
          <w:sz w:val="28"/>
          <w:u w:val="single"/>
        </w:rPr>
      </w:pPr>
      <w:r>
        <w:rPr>
          <w:noProof/>
        </w:rPr>
        <w:drawing>
          <wp:inline distT="0" distB="0" distL="0" distR="0" wp14:anchorId="075F60EF" wp14:editId="0BC44A80">
            <wp:extent cx="2730500" cy="1357508"/>
            <wp:effectExtent l="0" t="0" r="0" b="0"/>
            <wp:docPr id="19" name="Picture 19" descr="Sonoma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ompska\AppData\Local\Microsoft\Windows\INetCache\Content.Word\secondary-black-box-prin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511" cy="1365965"/>
                    </a:xfrm>
                    <a:prstGeom prst="rect">
                      <a:avLst/>
                    </a:prstGeom>
                    <a:noFill/>
                    <a:ln>
                      <a:noFill/>
                    </a:ln>
                  </pic:spPr>
                </pic:pic>
              </a:graphicData>
            </a:graphic>
          </wp:inline>
        </w:drawing>
      </w:r>
    </w:p>
    <w:p w14:paraId="073B3F13" w14:textId="77777777" w:rsidR="002F6455" w:rsidRDefault="002F6455" w:rsidP="002F6455">
      <w:pPr>
        <w:pStyle w:val="NoSpacing"/>
      </w:pPr>
    </w:p>
    <w:p w14:paraId="2B06889C" w14:textId="4A47D24E" w:rsidR="002F6455" w:rsidRDefault="002F6455" w:rsidP="002F6455">
      <w:pPr>
        <w:pStyle w:val="Heading1"/>
        <w:jc w:val="center"/>
      </w:pPr>
      <w:r>
        <w:lastRenderedPageBreak/>
        <w:t>Table of Contents</w:t>
      </w:r>
    </w:p>
    <w:p w14:paraId="1A62329A" w14:textId="77777777" w:rsidR="002F6455" w:rsidRDefault="002F6455" w:rsidP="002F6455">
      <w:pPr>
        <w:pStyle w:val="NoSpacing"/>
      </w:pPr>
    </w:p>
    <w:p w14:paraId="4C75FDC6" w14:textId="760D5FA2" w:rsidR="002F6455" w:rsidRPr="002F6455" w:rsidRDefault="002F6455" w:rsidP="002F6455">
      <w:pPr>
        <w:pStyle w:val="NoSpacing"/>
      </w:pPr>
      <w:r w:rsidRPr="002F6455">
        <w:t>Executive Summar</w:t>
      </w:r>
      <w:r>
        <w:t xml:space="preserve">y, </w:t>
      </w:r>
      <w:r w:rsidRPr="002F6455">
        <w:t>3</w:t>
      </w:r>
    </w:p>
    <w:p w14:paraId="291CA029" w14:textId="405BC663" w:rsidR="002F6455" w:rsidRDefault="002F6455" w:rsidP="002F6455">
      <w:pPr>
        <w:pStyle w:val="NoSpacing"/>
      </w:pPr>
      <w:r w:rsidRPr="002F6455">
        <w:tab/>
      </w:r>
    </w:p>
    <w:p w14:paraId="2EDEA33A" w14:textId="2A5C119E" w:rsidR="002F6455" w:rsidRPr="002F6455" w:rsidRDefault="002F6455" w:rsidP="002F6455">
      <w:pPr>
        <w:pStyle w:val="Heading2"/>
      </w:pPr>
      <w:r w:rsidRPr="002F6455">
        <w:t xml:space="preserve">Responses to WSCUC Recommendations: </w:t>
      </w:r>
      <w:r w:rsidRPr="002F6455">
        <w:tab/>
      </w:r>
    </w:p>
    <w:p w14:paraId="2E28A523" w14:textId="57536E1A" w:rsidR="002F6455" w:rsidRPr="002F6455" w:rsidRDefault="002F6455" w:rsidP="002F6455">
      <w:r>
        <w:br/>
      </w:r>
      <w:r w:rsidRPr="002F6455">
        <w:t>Recommendation #1 – PLOs</w:t>
      </w:r>
      <w:r>
        <w:t xml:space="preserve">, </w:t>
      </w:r>
      <w:r w:rsidRPr="002F6455">
        <w:t>6</w:t>
      </w:r>
    </w:p>
    <w:p w14:paraId="68540AFA" w14:textId="30219501" w:rsidR="002F6455" w:rsidRPr="002F6455" w:rsidRDefault="002F6455" w:rsidP="002F6455">
      <w:r w:rsidRPr="002F6455">
        <w:t>Recommendation #2 – Program Review</w:t>
      </w:r>
      <w:r>
        <w:t xml:space="preserve">, </w:t>
      </w:r>
      <w:r w:rsidRPr="002F6455">
        <w:t>11</w:t>
      </w:r>
    </w:p>
    <w:p w14:paraId="7B35FBCC" w14:textId="49E6E5B4" w:rsidR="002F6455" w:rsidRPr="002F6455" w:rsidRDefault="002F6455" w:rsidP="002F6455">
      <w:r w:rsidRPr="002F6455">
        <w:t>Recommendation #3 – Strategic Planning</w:t>
      </w:r>
      <w:r>
        <w:t xml:space="preserve">, </w:t>
      </w:r>
      <w:r w:rsidRPr="002F6455">
        <w:t>14</w:t>
      </w:r>
    </w:p>
    <w:p w14:paraId="6109BF49" w14:textId="236EE03B" w:rsidR="002F6455" w:rsidRPr="002F6455" w:rsidRDefault="002F6455" w:rsidP="002F6455">
      <w:r w:rsidRPr="002F6455">
        <w:t>Recommendation #4 – Data Tools</w:t>
      </w:r>
      <w:r>
        <w:t xml:space="preserve">, </w:t>
      </w:r>
      <w:r w:rsidRPr="002F6455">
        <w:t>22</w:t>
      </w:r>
    </w:p>
    <w:p w14:paraId="4DFC4F3A" w14:textId="2F40E805" w:rsidR="002F6455" w:rsidRPr="002F6455" w:rsidRDefault="002F6455" w:rsidP="002F6455">
      <w:r w:rsidRPr="002F6455">
        <w:t>Recommendation #5 – IT Strategic Plan</w:t>
      </w:r>
      <w:r>
        <w:t xml:space="preserve">, </w:t>
      </w:r>
      <w:r w:rsidRPr="002F6455">
        <w:t>28</w:t>
      </w:r>
    </w:p>
    <w:p w14:paraId="637839A3" w14:textId="3B38F59D" w:rsidR="002F6455" w:rsidRPr="002F6455" w:rsidRDefault="002F6455" w:rsidP="002F6455">
      <w:r w:rsidRPr="002F6455">
        <w:t>Recommendation #6 – Diversity</w:t>
      </w:r>
      <w:r>
        <w:t xml:space="preserve">, </w:t>
      </w:r>
      <w:r w:rsidRPr="002F6455">
        <w:t>36</w:t>
      </w:r>
    </w:p>
    <w:p w14:paraId="16480CB1" w14:textId="63E8D608" w:rsidR="002F6455" w:rsidRPr="002F6455" w:rsidRDefault="002F6455" w:rsidP="002F6455">
      <w:r w:rsidRPr="002F6455">
        <w:t>Recommendation #7 – Student Identity</w:t>
      </w:r>
      <w:r>
        <w:t xml:space="preserve">, </w:t>
      </w:r>
      <w:r w:rsidRPr="002F6455">
        <w:t>43</w:t>
      </w:r>
    </w:p>
    <w:p w14:paraId="651B9A0C" w14:textId="77777777" w:rsidR="002F6455" w:rsidRPr="002F6455" w:rsidRDefault="002F6455" w:rsidP="002F6455">
      <w:pPr>
        <w:pStyle w:val="NoSpacing"/>
      </w:pPr>
      <w:r w:rsidRPr="002F6455">
        <w:tab/>
      </w:r>
    </w:p>
    <w:p w14:paraId="6EF19D97" w14:textId="7667CBDE" w:rsidR="002F6455" w:rsidRPr="002F6455" w:rsidRDefault="002F6455" w:rsidP="002F6455">
      <w:pPr>
        <w:pStyle w:val="Heading2"/>
      </w:pPr>
      <w:r w:rsidRPr="002F6455">
        <w:t>Appendices to Accompany Responses:</w:t>
      </w:r>
      <w:r w:rsidRPr="002F6455">
        <w:tab/>
      </w:r>
      <w:r>
        <w:br/>
      </w:r>
    </w:p>
    <w:p w14:paraId="4637A4E3" w14:textId="77777777" w:rsidR="002F6455" w:rsidRPr="002F6455" w:rsidRDefault="002F6455" w:rsidP="002F6455">
      <w:pPr>
        <w:pStyle w:val="NoSpacing"/>
      </w:pPr>
      <w:r w:rsidRPr="002F6455">
        <w:t>Appendix 1:  Supporting Materials for Recommendation #1</w:t>
      </w:r>
    </w:p>
    <w:p w14:paraId="5FBD7C31" w14:textId="77777777" w:rsidR="002F6455" w:rsidRPr="002F6455" w:rsidRDefault="002F6455" w:rsidP="002F6455">
      <w:pPr>
        <w:pStyle w:val="NoSpacing"/>
      </w:pPr>
    </w:p>
    <w:p w14:paraId="03525AF1" w14:textId="77777777" w:rsidR="002F6455" w:rsidRPr="002F6455" w:rsidRDefault="002F6455" w:rsidP="002F6455">
      <w:pPr>
        <w:pStyle w:val="NoSpacing"/>
      </w:pPr>
      <w:r w:rsidRPr="002F6455">
        <w:t>Appendix 2:  Supporting Materials for Recommendation #2</w:t>
      </w:r>
    </w:p>
    <w:p w14:paraId="09777BB0" w14:textId="77777777" w:rsidR="002F6455" w:rsidRPr="002F6455" w:rsidRDefault="002F6455" w:rsidP="002F6455">
      <w:pPr>
        <w:pStyle w:val="NoSpacing"/>
      </w:pPr>
    </w:p>
    <w:p w14:paraId="47D0C1E4" w14:textId="77777777" w:rsidR="002F6455" w:rsidRPr="002F6455" w:rsidRDefault="002F6455" w:rsidP="002F6455">
      <w:pPr>
        <w:pStyle w:val="NoSpacing"/>
      </w:pPr>
      <w:r w:rsidRPr="002F6455">
        <w:t>Appendix 3:  Supporting Materials for Recommendation #3</w:t>
      </w:r>
    </w:p>
    <w:p w14:paraId="2EAB2614" w14:textId="77777777" w:rsidR="002F6455" w:rsidRPr="002F6455" w:rsidRDefault="002F6455" w:rsidP="002F6455">
      <w:pPr>
        <w:pStyle w:val="NoSpacing"/>
      </w:pPr>
    </w:p>
    <w:p w14:paraId="76E0AB26" w14:textId="77777777" w:rsidR="002F6455" w:rsidRPr="002F6455" w:rsidRDefault="002F6455" w:rsidP="002F6455">
      <w:pPr>
        <w:pStyle w:val="NoSpacing"/>
      </w:pPr>
      <w:r w:rsidRPr="002F6455">
        <w:t>Appendix 4:  Supporting Materials for Recommendation #4</w:t>
      </w:r>
    </w:p>
    <w:p w14:paraId="2412C180" w14:textId="77777777" w:rsidR="002F6455" w:rsidRPr="002F6455" w:rsidRDefault="002F6455" w:rsidP="002F6455">
      <w:pPr>
        <w:pStyle w:val="NoSpacing"/>
      </w:pPr>
    </w:p>
    <w:p w14:paraId="7E96062A" w14:textId="77777777" w:rsidR="002F6455" w:rsidRPr="002F6455" w:rsidRDefault="002F6455" w:rsidP="002F6455">
      <w:pPr>
        <w:pStyle w:val="NoSpacing"/>
      </w:pPr>
      <w:r w:rsidRPr="002F6455">
        <w:t>Appendix 5:  Supporting Materials for Recommendation #5</w:t>
      </w:r>
    </w:p>
    <w:p w14:paraId="5C778213" w14:textId="77777777" w:rsidR="002F6455" w:rsidRPr="002F6455" w:rsidRDefault="002F6455" w:rsidP="002F6455">
      <w:pPr>
        <w:pStyle w:val="NoSpacing"/>
      </w:pPr>
    </w:p>
    <w:p w14:paraId="6FC606D0" w14:textId="77777777" w:rsidR="002F6455" w:rsidRPr="002F6455" w:rsidRDefault="002F6455" w:rsidP="002F6455">
      <w:pPr>
        <w:pStyle w:val="NoSpacing"/>
      </w:pPr>
      <w:r w:rsidRPr="002F6455">
        <w:t>Appendix 6:  Supporting Materials for Recommendation #6</w:t>
      </w:r>
    </w:p>
    <w:p w14:paraId="1B0059B1" w14:textId="77777777" w:rsidR="002F6455" w:rsidRPr="002F6455" w:rsidRDefault="002F6455" w:rsidP="002F6455">
      <w:pPr>
        <w:pStyle w:val="NoSpacing"/>
      </w:pPr>
    </w:p>
    <w:p w14:paraId="7FC5C275" w14:textId="777DA627" w:rsidR="00C11283" w:rsidRDefault="002F6455" w:rsidP="002F6455">
      <w:pPr>
        <w:pStyle w:val="NoSpacing"/>
      </w:pPr>
      <w:r w:rsidRPr="002F6455">
        <w:t>Appendix 7:  Supporting Materials for Recommendation #7</w:t>
      </w:r>
    </w:p>
    <w:p w14:paraId="72882506" w14:textId="76583615" w:rsidR="00EB51E9" w:rsidRDefault="00EB51E9" w:rsidP="002439AA">
      <w:pPr>
        <w:rPr>
          <w:b/>
          <w:sz w:val="28"/>
          <w:u w:val="single"/>
        </w:rPr>
      </w:pPr>
      <w:r>
        <w:rPr>
          <w:b/>
          <w:sz w:val="28"/>
          <w:u w:val="single"/>
        </w:rPr>
        <w:br w:type="page"/>
      </w:r>
    </w:p>
    <w:p w14:paraId="6224FF9E" w14:textId="0D161D7C" w:rsidR="00EE79CA" w:rsidRPr="00227C6E" w:rsidRDefault="00FF0C4E" w:rsidP="00DB319B">
      <w:pPr>
        <w:pStyle w:val="Heading1"/>
        <w:jc w:val="center"/>
      </w:pPr>
      <w:r w:rsidRPr="00227C6E">
        <w:lastRenderedPageBreak/>
        <w:t>Executive Summary</w:t>
      </w:r>
    </w:p>
    <w:p w14:paraId="2475CADB" w14:textId="77777777" w:rsidR="00FF0C4E" w:rsidRPr="00227C6E" w:rsidRDefault="00FF0C4E" w:rsidP="00FF0C4E">
      <w:pPr>
        <w:spacing w:after="0" w:line="240" w:lineRule="auto"/>
        <w:jc w:val="center"/>
        <w:rPr>
          <w:rFonts w:cstheme="minorHAnsi"/>
          <w:b/>
          <w:sz w:val="28"/>
          <w:u w:val="single"/>
        </w:rPr>
      </w:pPr>
    </w:p>
    <w:p w14:paraId="406F4C68" w14:textId="512B9BBD" w:rsidR="00EE79CA" w:rsidRPr="00227C6E" w:rsidRDefault="00EE79CA" w:rsidP="00D33AC9">
      <w:pPr>
        <w:spacing w:line="480" w:lineRule="auto"/>
        <w:rPr>
          <w:rFonts w:cstheme="minorHAnsi"/>
        </w:rPr>
      </w:pPr>
      <w:r w:rsidRPr="00227C6E">
        <w:rPr>
          <w:rFonts w:cstheme="minorHAnsi"/>
        </w:rPr>
        <w:t>Sonoma State University (SSU) is pleased to present this report as a follow-up to the W</w:t>
      </w:r>
      <w:r w:rsidR="00224F94" w:rsidRPr="00227C6E">
        <w:rPr>
          <w:rFonts w:cstheme="minorHAnsi"/>
        </w:rPr>
        <w:t>estern</w:t>
      </w:r>
      <w:r w:rsidRPr="00227C6E">
        <w:rPr>
          <w:rFonts w:cstheme="minorHAnsi"/>
        </w:rPr>
        <w:t xml:space="preserve"> Senior College and University Commission</w:t>
      </w:r>
      <w:r w:rsidR="00224F94" w:rsidRPr="00227C6E">
        <w:rPr>
          <w:rFonts w:cstheme="minorHAnsi"/>
        </w:rPr>
        <w:t xml:space="preserve"> (WSCUC)</w:t>
      </w:r>
      <w:r w:rsidRPr="00227C6E">
        <w:rPr>
          <w:rFonts w:cstheme="minorHAnsi"/>
        </w:rPr>
        <w:t xml:space="preserve">’s </w:t>
      </w:r>
      <w:r w:rsidR="000474E7" w:rsidRPr="00227C6E">
        <w:rPr>
          <w:rFonts w:cstheme="minorHAnsi"/>
        </w:rPr>
        <w:t>action letter of March 9, 2018</w:t>
      </w:r>
      <w:r w:rsidRPr="00227C6E">
        <w:rPr>
          <w:rFonts w:cstheme="minorHAnsi"/>
        </w:rPr>
        <w:t>.</w:t>
      </w:r>
      <w:r w:rsidR="00224F94" w:rsidRPr="00227C6E">
        <w:rPr>
          <w:rFonts w:cstheme="minorHAnsi"/>
        </w:rPr>
        <w:t xml:space="preserve"> </w:t>
      </w:r>
      <w:r w:rsidR="00C775C4" w:rsidRPr="00227C6E">
        <w:rPr>
          <w:rFonts w:cstheme="minorHAnsi"/>
        </w:rPr>
        <w:t xml:space="preserve"> </w:t>
      </w:r>
      <w:r w:rsidRPr="00227C6E">
        <w:rPr>
          <w:rFonts w:cstheme="minorHAnsi"/>
        </w:rPr>
        <w:t xml:space="preserve">SSU has made substantial </w:t>
      </w:r>
      <w:r w:rsidR="00806E6E" w:rsidRPr="00227C6E">
        <w:rPr>
          <w:rFonts w:cstheme="minorHAnsi"/>
        </w:rPr>
        <w:t>headway</w:t>
      </w:r>
      <w:r w:rsidRPr="00227C6E">
        <w:rPr>
          <w:rFonts w:cstheme="minorHAnsi"/>
        </w:rPr>
        <w:t xml:space="preserve"> </w:t>
      </w:r>
      <w:r w:rsidR="00224F94" w:rsidRPr="00227C6E">
        <w:rPr>
          <w:rFonts w:cstheme="minorHAnsi"/>
        </w:rPr>
        <w:t>o</w:t>
      </w:r>
      <w:r w:rsidRPr="00227C6E">
        <w:rPr>
          <w:rFonts w:cstheme="minorHAnsi"/>
        </w:rPr>
        <w:t>n all seven recommendation areas</w:t>
      </w:r>
      <w:r w:rsidR="00806E6E" w:rsidRPr="00227C6E">
        <w:rPr>
          <w:rFonts w:cstheme="minorHAnsi"/>
        </w:rPr>
        <w:t xml:space="preserve"> that the WSCUC team highlighted after their October 2017 campus visit.</w:t>
      </w:r>
      <w:r w:rsidR="00224F94" w:rsidRPr="00227C6E">
        <w:rPr>
          <w:rFonts w:cstheme="minorHAnsi"/>
        </w:rPr>
        <w:t xml:space="preserve"> </w:t>
      </w:r>
      <w:r w:rsidR="00806E6E" w:rsidRPr="00227C6E">
        <w:rPr>
          <w:rFonts w:cstheme="minorHAnsi"/>
        </w:rPr>
        <w:t xml:space="preserve">The seven issues </w:t>
      </w:r>
      <w:r w:rsidR="00E567EA" w:rsidRPr="00227C6E">
        <w:rPr>
          <w:rFonts w:cstheme="minorHAnsi"/>
        </w:rPr>
        <w:t>that SSU</w:t>
      </w:r>
      <w:r w:rsidR="00806E6E" w:rsidRPr="00227C6E">
        <w:rPr>
          <w:rFonts w:cstheme="minorHAnsi"/>
        </w:rPr>
        <w:t xml:space="preserve"> w</w:t>
      </w:r>
      <w:r w:rsidR="00E567EA" w:rsidRPr="00227C6E">
        <w:rPr>
          <w:rFonts w:cstheme="minorHAnsi"/>
        </w:rPr>
        <w:t>as</w:t>
      </w:r>
      <w:r w:rsidR="00806E6E" w:rsidRPr="00227C6E">
        <w:rPr>
          <w:rFonts w:cstheme="minorHAnsi"/>
        </w:rPr>
        <w:t xml:space="preserve"> asked to respond to were as follows:</w:t>
      </w:r>
    </w:p>
    <w:p w14:paraId="08D2FCDD" w14:textId="0D914A7F" w:rsidR="00806E6E" w:rsidRPr="00227C6E" w:rsidRDefault="00260E62" w:rsidP="00D33AC9">
      <w:pPr>
        <w:pStyle w:val="Default"/>
        <w:spacing w:line="480" w:lineRule="auto"/>
        <w:rPr>
          <w:rFonts w:asciiTheme="minorHAnsi" w:hAnsiTheme="minorHAnsi" w:cstheme="minorHAnsi"/>
          <w:sz w:val="22"/>
          <w:szCs w:val="22"/>
        </w:rPr>
      </w:pPr>
      <w:r w:rsidRPr="008B4DB2">
        <w:rPr>
          <w:rStyle w:val="Heading2Char"/>
        </w:rPr>
        <w:t>Recommendation #1:</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Assuring every degree program has measurable learning outcomes and an assessment plan that identifies where the outcomes are being assessed in the curriculum. (CFR 2.4) </w:t>
      </w:r>
    </w:p>
    <w:p w14:paraId="213B5DEA" w14:textId="08B7BE2D" w:rsidR="00260E62" w:rsidRPr="00227C6E" w:rsidRDefault="00641117" w:rsidP="00D33AC9">
      <w:pPr>
        <w:pStyle w:val="Default"/>
        <w:spacing w:line="480" w:lineRule="auto"/>
        <w:ind w:left="720"/>
        <w:rPr>
          <w:rFonts w:asciiTheme="minorHAnsi" w:hAnsiTheme="minorHAnsi" w:cstheme="minorHAnsi"/>
          <w:sz w:val="22"/>
          <w:szCs w:val="22"/>
        </w:rPr>
      </w:pPr>
      <w:r w:rsidRPr="001746A9">
        <w:rPr>
          <w:rStyle w:val="Strong"/>
        </w:rPr>
        <w:t>Current S</w:t>
      </w:r>
      <w:r w:rsidR="00260E62" w:rsidRPr="001746A9">
        <w:rPr>
          <w:rStyle w:val="Strong"/>
        </w:rPr>
        <w:t>tatus:</w:t>
      </w:r>
      <w:r w:rsidR="00224F94" w:rsidRPr="008B4DB2">
        <w:rPr>
          <w:rFonts w:asciiTheme="minorHAnsi" w:hAnsiTheme="minorHAnsi" w:cstheme="minorHAnsi"/>
          <w:sz w:val="22"/>
          <w:szCs w:val="22"/>
        </w:rPr>
        <w:t xml:space="preserve"> </w:t>
      </w:r>
      <w:r w:rsidR="00260E62" w:rsidRPr="008B4DB2">
        <w:rPr>
          <w:rFonts w:asciiTheme="minorHAnsi" w:hAnsiTheme="minorHAnsi" w:cstheme="minorHAnsi"/>
          <w:sz w:val="22"/>
          <w:szCs w:val="22"/>
        </w:rPr>
        <w:t>Each</w:t>
      </w:r>
      <w:r w:rsidR="00260E62" w:rsidRPr="00227C6E">
        <w:rPr>
          <w:rFonts w:asciiTheme="minorHAnsi" w:hAnsiTheme="minorHAnsi" w:cstheme="minorHAnsi"/>
          <w:sz w:val="22"/>
          <w:szCs w:val="22"/>
        </w:rPr>
        <w:t xml:space="preserve"> o</w:t>
      </w:r>
      <w:r w:rsidR="002808CE" w:rsidRPr="00227C6E">
        <w:rPr>
          <w:rFonts w:asciiTheme="minorHAnsi" w:hAnsiTheme="minorHAnsi" w:cstheme="minorHAnsi"/>
          <w:sz w:val="22"/>
          <w:szCs w:val="22"/>
        </w:rPr>
        <w:t>f SSU’s degree programs now has</w:t>
      </w:r>
      <w:r w:rsidR="00260E62" w:rsidRPr="00227C6E">
        <w:rPr>
          <w:rFonts w:asciiTheme="minorHAnsi" w:hAnsiTheme="minorHAnsi" w:cstheme="minorHAnsi"/>
          <w:sz w:val="22"/>
          <w:szCs w:val="22"/>
        </w:rPr>
        <w:t xml:space="preserve"> measurable learning outcomes, and </w:t>
      </w:r>
      <w:r w:rsidR="00224F94" w:rsidRPr="00227C6E">
        <w:rPr>
          <w:rFonts w:asciiTheme="minorHAnsi" w:hAnsiTheme="minorHAnsi" w:cstheme="minorHAnsi"/>
          <w:sz w:val="22"/>
          <w:szCs w:val="22"/>
        </w:rPr>
        <w:t>programs are working to ensure that those outcomes are</w:t>
      </w:r>
      <w:r w:rsidR="00260E62" w:rsidRPr="00227C6E">
        <w:rPr>
          <w:rFonts w:asciiTheme="minorHAnsi" w:hAnsiTheme="minorHAnsi" w:cstheme="minorHAnsi"/>
          <w:sz w:val="22"/>
          <w:szCs w:val="22"/>
        </w:rPr>
        <w:t xml:space="preserve"> posted on each program’s website</w:t>
      </w:r>
      <w:r w:rsidR="002808CE" w:rsidRPr="00227C6E">
        <w:rPr>
          <w:rFonts w:asciiTheme="minorHAnsi" w:hAnsiTheme="minorHAnsi" w:cstheme="minorHAnsi"/>
          <w:sz w:val="22"/>
          <w:szCs w:val="22"/>
        </w:rPr>
        <w:t xml:space="preserve"> and included in the university catalog</w:t>
      </w:r>
      <w:r w:rsidR="00260E62" w:rsidRPr="00227C6E">
        <w:rPr>
          <w:rFonts w:asciiTheme="minorHAnsi" w:hAnsiTheme="minorHAnsi" w:cstheme="minorHAnsi"/>
          <w:sz w:val="22"/>
          <w:szCs w:val="22"/>
        </w:rPr>
        <w:t>.</w:t>
      </w:r>
      <w:r w:rsidR="00224F94" w:rsidRPr="00227C6E">
        <w:rPr>
          <w:rFonts w:asciiTheme="minorHAnsi" w:hAnsiTheme="minorHAnsi" w:cstheme="minorHAnsi"/>
          <w:sz w:val="22"/>
          <w:szCs w:val="22"/>
        </w:rPr>
        <w:t xml:space="preserve"> </w:t>
      </w:r>
      <w:r w:rsidR="00260E62" w:rsidRPr="00227C6E">
        <w:rPr>
          <w:rFonts w:asciiTheme="minorHAnsi" w:hAnsiTheme="minorHAnsi" w:cstheme="minorHAnsi"/>
          <w:sz w:val="22"/>
          <w:szCs w:val="22"/>
        </w:rPr>
        <w:t xml:space="preserve">Degree programs </w:t>
      </w:r>
      <w:r w:rsidR="002808CE" w:rsidRPr="00227C6E">
        <w:rPr>
          <w:rFonts w:asciiTheme="minorHAnsi" w:hAnsiTheme="minorHAnsi" w:cstheme="minorHAnsi"/>
          <w:sz w:val="22"/>
          <w:szCs w:val="22"/>
        </w:rPr>
        <w:t xml:space="preserve">are required to have an assessment plan as they move through </w:t>
      </w:r>
      <w:r w:rsidR="00260E62" w:rsidRPr="00227C6E">
        <w:rPr>
          <w:rFonts w:asciiTheme="minorHAnsi" w:hAnsiTheme="minorHAnsi" w:cstheme="minorHAnsi"/>
          <w:sz w:val="22"/>
          <w:szCs w:val="22"/>
        </w:rPr>
        <w:t>the program review process</w:t>
      </w:r>
      <w:r w:rsidR="00224F94" w:rsidRPr="00227C6E">
        <w:rPr>
          <w:rFonts w:asciiTheme="minorHAnsi" w:hAnsiTheme="minorHAnsi" w:cstheme="minorHAnsi"/>
          <w:sz w:val="22"/>
          <w:szCs w:val="22"/>
        </w:rPr>
        <w:t xml:space="preserve"> and </w:t>
      </w:r>
      <w:r w:rsidR="00797041" w:rsidRPr="00227C6E">
        <w:rPr>
          <w:rFonts w:asciiTheme="minorHAnsi" w:hAnsiTheme="minorHAnsi" w:cstheme="minorHAnsi"/>
          <w:sz w:val="22"/>
          <w:szCs w:val="22"/>
        </w:rPr>
        <w:t>are</w:t>
      </w:r>
      <w:r w:rsidR="00224F94" w:rsidRPr="00227C6E">
        <w:rPr>
          <w:rFonts w:asciiTheme="minorHAnsi" w:hAnsiTheme="minorHAnsi" w:cstheme="minorHAnsi"/>
          <w:sz w:val="22"/>
          <w:szCs w:val="22"/>
        </w:rPr>
        <w:t xml:space="preserve"> held accountable for implementing those plans through </w:t>
      </w:r>
      <w:r w:rsidR="002C5DBF">
        <w:rPr>
          <w:rFonts w:asciiTheme="minorHAnsi" w:hAnsiTheme="minorHAnsi" w:cstheme="minorHAnsi"/>
          <w:sz w:val="22"/>
          <w:szCs w:val="22"/>
        </w:rPr>
        <w:t>m</w:t>
      </w:r>
      <w:r w:rsidR="00224F94" w:rsidRPr="00227C6E">
        <w:rPr>
          <w:rFonts w:asciiTheme="minorHAnsi" w:hAnsiTheme="minorHAnsi" w:cstheme="minorHAnsi"/>
          <w:sz w:val="22"/>
          <w:szCs w:val="22"/>
        </w:rPr>
        <w:t xml:space="preserve">emoranda of </w:t>
      </w:r>
      <w:r w:rsidR="002C5DBF">
        <w:rPr>
          <w:rFonts w:asciiTheme="minorHAnsi" w:hAnsiTheme="minorHAnsi" w:cstheme="minorHAnsi"/>
          <w:sz w:val="22"/>
          <w:szCs w:val="22"/>
        </w:rPr>
        <w:t>u</w:t>
      </w:r>
      <w:r w:rsidR="00224F94" w:rsidRPr="00227C6E">
        <w:rPr>
          <w:rFonts w:asciiTheme="minorHAnsi" w:hAnsiTheme="minorHAnsi" w:cstheme="minorHAnsi"/>
          <w:sz w:val="22"/>
          <w:szCs w:val="22"/>
        </w:rPr>
        <w:t>nderstanding (MOUs) developed at the end of the program review process</w:t>
      </w:r>
      <w:r w:rsidR="00260E62" w:rsidRPr="00227C6E">
        <w:rPr>
          <w:rFonts w:asciiTheme="minorHAnsi" w:hAnsiTheme="minorHAnsi" w:cstheme="minorHAnsi"/>
          <w:sz w:val="22"/>
          <w:szCs w:val="22"/>
        </w:rPr>
        <w:t>.</w:t>
      </w:r>
    </w:p>
    <w:p w14:paraId="7D8E9340" w14:textId="4E82CCD8" w:rsidR="00806E6E" w:rsidRPr="00227C6E" w:rsidRDefault="00641117" w:rsidP="00D33AC9">
      <w:pPr>
        <w:pStyle w:val="Default"/>
        <w:spacing w:line="480" w:lineRule="auto"/>
        <w:rPr>
          <w:rFonts w:asciiTheme="minorHAnsi" w:hAnsiTheme="minorHAnsi" w:cstheme="minorHAnsi"/>
          <w:sz w:val="22"/>
          <w:szCs w:val="22"/>
        </w:rPr>
      </w:pPr>
      <w:r w:rsidRPr="008B4DB2">
        <w:rPr>
          <w:rStyle w:val="Heading2Char"/>
        </w:rPr>
        <w:t>Recommendation #2:</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Adhering to the recently approved </w:t>
      </w:r>
      <w:r w:rsidR="002C5DBF">
        <w:rPr>
          <w:rFonts w:asciiTheme="minorHAnsi" w:hAnsiTheme="minorHAnsi" w:cstheme="minorHAnsi"/>
          <w:sz w:val="22"/>
          <w:szCs w:val="22"/>
        </w:rPr>
        <w:t>p</w:t>
      </w:r>
      <w:r w:rsidR="00806E6E" w:rsidRPr="00227C6E">
        <w:rPr>
          <w:rFonts w:asciiTheme="minorHAnsi" w:hAnsiTheme="minorHAnsi" w:cstheme="minorHAnsi"/>
          <w:sz w:val="22"/>
          <w:szCs w:val="22"/>
        </w:rPr>
        <w:t xml:space="preserve">rogram </w:t>
      </w:r>
      <w:r w:rsidR="002C5DBF">
        <w:rPr>
          <w:rFonts w:asciiTheme="minorHAnsi" w:hAnsiTheme="minorHAnsi" w:cstheme="minorHAnsi"/>
          <w:sz w:val="22"/>
          <w:szCs w:val="22"/>
        </w:rPr>
        <w:t>r</w:t>
      </w:r>
      <w:r w:rsidR="00806E6E" w:rsidRPr="00227C6E">
        <w:rPr>
          <w:rFonts w:asciiTheme="minorHAnsi" w:hAnsiTheme="minorHAnsi" w:cstheme="minorHAnsi"/>
          <w:sz w:val="22"/>
          <w:szCs w:val="22"/>
        </w:rPr>
        <w:t xml:space="preserve">eview </w:t>
      </w:r>
      <w:r w:rsidR="002C5DBF">
        <w:rPr>
          <w:rFonts w:asciiTheme="minorHAnsi" w:hAnsiTheme="minorHAnsi" w:cstheme="minorHAnsi"/>
          <w:sz w:val="22"/>
          <w:szCs w:val="22"/>
        </w:rPr>
        <w:t>p</w:t>
      </w:r>
      <w:r w:rsidR="00806E6E" w:rsidRPr="00227C6E">
        <w:rPr>
          <w:rFonts w:asciiTheme="minorHAnsi" w:hAnsiTheme="minorHAnsi" w:cstheme="minorHAnsi"/>
          <w:sz w:val="22"/>
          <w:szCs w:val="22"/>
        </w:rPr>
        <w:t xml:space="preserve">olicy 20061. (CFR 2.7) </w:t>
      </w:r>
    </w:p>
    <w:p w14:paraId="61B3F5C2" w14:textId="7B49FAB8" w:rsidR="00641117" w:rsidRPr="00227C6E" w:rsidRDefault="00641117" w:rsidP="00D33AC9">
      <w:pPr>
        <w:pStyle w:val="Default"/>
        <w:spacing w:line="480" w:lineRule="auto"/>
        <w:ind w:left="720"/>
        <w:rPr>
          <w:rFonts w:asciiTheme="minorHAnsi" w:hAnsiTheme="minorHAnsi" w:cstheme="minorHAnsi"/>
          <w:sz w:val="22"/>
          <w:szCs w:val="22"/>
          <w:u w:val="single"/>
        </w:rPr>
      </w:pPr>
      <w:r w:rsidRPr="001746A9">
        <w:rPr>
          <w:rStyle w:val="Strong"/>
        </w:rPr>
        <w:t>Current Status:</w:t>
      </w:r>
      <w:r w:rsidR="00224F94" w:rsidRPr="00227C6E">
        <w:rPr>
          <w:rFonts w:asciiTheme="minorHAnsi" w:hAnsiTheme="minorHAnsi" w:cstheme="minorHAnsi"/>
          <w:sz w:val="22"/>
          <w:szCs w:val="22"/>
        </w:rPr>
        <w:t xml:space="preserve"> </w:t>
      </w:r>
      <w:r w:rsidRPr="00227C6E">
        <w:rPr>
          <w:rFonts w:asciiTheme="minorHAnsi" w:hAnsiTheme="minorHAnsi" w:cstheme="minorHAnsi"/>
          <w:sz w:val="22"/>
          <w:szCs w:val="22"/>
        </w:rPr>
        <w:t>The revised</w:t>
      </w:r>
      <w:r w:rsidR="000474E7" w:rsidRPr="00227C6E">
        <w:rPr>
          <w:rFonts w:asciiTheme="minorHAnsi" w:hAnsiTheme="minorHAnsi" w:cstheme="minorHAnsi"/>
          <w:sz w:val="22"/>
          <w:szCs w:val="22"/>
        </w:rPr>
        <w:t xml:space="preserve"> </w:t>
      </w:r>
      <w:r w:rsidR="00DB2390">
        <w:rPr>
          <w:rFonts w:asciiTheme="minorHAnsi" w:hAnsiTheme="minorHAnsi" w:cstheme="minorHAnsi"/>
          <w:sz w:val="22"/>
          <w:szCs w:val="22"/>
        </w:rPr>
        <w:t>p</w:t>
      </w:r>
      <w:r w:rsidR="00DB2390" w:rsidRPr="00227C6E">
        <w:rPr>
          <w:rFonts w:asciiTheme="minorHAnsi" w:hAnsiTheme="minorHAnsi" w:cstheme="minorHAnsi"/>
          <w:sz w:val="22"/>
          <w:szCs w:val="22"/>
        </w:rPr>
        <w:t xml:space="preserve">rogram </w:t>
      </w:r>
      <w:r w:rsidR="00DB2390">
        <w:rPr>
          <w:rFonts w:asciiTheme="minorHAnsi" w:hAnsiTheme="minorHAnsi" w:cstheme="minorHAnsi"/>
          <w:sz w:val="22"/>
          <w:szCs w:val="22"/>
        </w:rPr>
        <w:t>r</w:t>
      </w:r>
      <w:r w:rsidR="00DB2390" w:rsidRPr="00227C6E">
        <w:rPr>
          <w:rFonts w:asciiTheme="minorHAnsi" w:hAnsiTheme="minorHAnsi" w:cstheme="minorHAnsi"/>
          <w:sz w:val="22"/>
          <w:szCs w:val="22"/>
        </w:rPr>
        <w:t xml:space="preserve">eview </w:t>
      </w:r>
      <w:r w:rsidR="00DB2390">
        <w:rPr>
          <w:rFonts w:asciiTheme="minorHAnsi" w:hAnsiTheme="minorHAnsi" w:cstheme="minorHAnsi"/>
          <w:sz w:val="22"/>
          <w:szCs w:val="22"/>
        </w:rPr>
        <w:t>p</w:t>
      </w:r>
      <w:r w:rsidR="00DB2390" w:rsidRPr="00227C6E">
        <w:rPr>
          <w:rFonts w:asciiTheme="minorHAnsi" w:hAnsiTheme="minorHAnsi" w:cstheme="minorHAnsi"/>
          <w:sz w:val="22"/>
          <w:szCs w:val="22"/>
        </w:rPr>
        <w:t xml:space="preserve">olicy </w:t>
      </w:r>
      <w:r w:rsidRPr="00227C6E">
        <w:rPr>
          <w:rFonts w:asciiTheme="minorHAnsi" w:hAnsiTheme="minorHAnsi" w:cstheme="minorHAnsi"/>
          <w:sz w:val="22"/>
          <w:szCs w:val="22"/>
        </w:rPr>
        <w:t>was formally approved at the end of</w:t>
      </w:r>
      <w:r w:rsidR="002808CE" w:rsidRPr="00227C6E">
        <w:rPr>
          <w:rFonts w:asciiTheme="minorHAnsi" w:hAnsiTheme="minorHAnsi" w:cstheme="minorHAnsi"/>
          <w:sz w:val="22"/>
          <w:szCs w:val="22"/>
        </w:rPr>
        <w:t xml:space="preserve"> the</w:t>
      </w:r>
      <w:r w:rsidRPr="00227C6E">
        <w:rPr>
          <w:rFonts w:asciiTheme="minorHAnsi" w:hAnsiTheme="minorHAnsi" w:cstheme="minorHAnsi"/>
          <w:sz w:val="22"/>
          <w:szCs w:val="22"/>
        </w:rPr>
        <w:t xml:space="preserve"> </w:t>
      </w:r>
      <w:r w:rsidR="00841753">
        <w:rPr>
          <w:rFonts w:asciiTheme="minorHAnsi" w:hAnsiTheme="minorHAnsi" w:cstheme="minorHAnsi"/>
          <w:sz w:val="22"/>
          <w:szCs w:val="22"/>
        </w:rPr>
        <w:t>s</w:t>
      </w:r>
      <w:r w:rsidRPr="00227C6E">
        <w:rPr>
          <w:rFonts w:asciiTheme="minorHAnsi" w:hAnsiTheme="minorHAnsi" w:cstheme="minorHAnsi"/>
          <w:sz w:val="22"/>
          <w:szCs w:val="22"/>
        </w:rPr>
        <w:t>pring 2017</w:t>
      </w:r>
      <w:r w:rsidR="00A34C18" w:rsidRPr="00227C6E">
        <w:rPr>
          <w:rFonts w:asciiTheme="minorHAnsi" w:hAnsiTheme="minorHAnsi" w:cstheme="minorHAnsi"/>
          <w:sz w:val="22"/>
          <w:szCs w:val="22"/>
        </w:rPr>
        <w:t xml:space="preserve"> semester.</w:t>
      </w:r>
      <w:r w:rsidR="00224F94" w:rsidRPr="00227C6E">
        <w:rPr>
          <w:rFonts w:asciiTheme="minorHAnsi" w:hAnsiTheme="minorHAnsi" w:cstheme="minorHAnsi"/>
          <w:sz w:val="22"/>
          <w:szCs w:val="22"/>
        </w:rPr>
        <w:t xml:space="preserve"> </w:t>
      </w:r>
      <w:r w:rsidRPr="00227C6E">
        <w:rPr>
          <w:rFonts w:asciiTheme="minorHAnsi" w:hAnsiTheme="minorHAnsi" w:cstheme="minorHAnsi"/>
          <w:sz w:val="22"/>
          <w:szCs w:val="22"/>
        </w:rPr>
        <w:t xml:space="preserve">The </w:t>
      </w:r>
      <w:r w:rsidR="002C5DBF">
        <w:rPr>
          <w:rFonts w:asciiTheme="minorHAnsi" w:hAnsiTheme="minorHAnsi" w:cstheme="minorHAnsi"/>
          <w:sz w:val="22"/>
          <w:szCs w:val="22"/>
        </w:rPr>
        <w:t>u</w:t>
      </w:r>
      <w:r w:rsidR="002C5DBF" w:rsidRPr="00227C6E">
        <w:rPr>
          <w:rFonts w:asciiTheme="minorHAnsi" w:hAnsiTheme="minorHAnsi" w:cstheme="minorHAnsi"/>
          <w:sz w:val="22"/>
          <w:szCs w:val="22"/>
        </w:rPr>
        <w:t xml:space="preserve">niversity </w:t>
      </w:r>
      <w:r w:rsidR="002C5DBF">
        <w:rPr>
          <w:rFonts w:asciiTheme="minorHAnsi" w:hAnsiTheme="minorHAnsi" w:cstheme="minorHAnsi"/>
          <w:sz w:val="22"/>
          <w:szCs w:val="22"/>
        </w:rPr>
        <w:t>p</w:t>
      </w:r>
      <w:r w:rsidR="002C5DBF" w:rsidRPr="00227C6E">
        <w:rPr>
          <w:rFonts w:asciiTheme="minorHAnsi" w:hAnsiTheme="minorHAnsi" w:cstheme="minorHAnsi"/>
          <w:sz w:val="22"/>
          <w:szCs w:val="22"/>
        </w:rPr>
        <w:t xml:space="preserve">rogram </w:t>
      </w:r>
      <w:r w:rsidR="002C5DBF">
        <w:rPr>
          <w:rFonts w:asciiTheme="minorHAnsi" w:hAnsiTheme="minorHAnsi" w:cstheme="minorHAnsi"/>
          <w:sz w:val="22"/>
          <w:szCs w:val="22"/>
        </w:rPr>
        <w:t>r</w:t>
      </w:r>
      <w:r w:rsidR="002C5DBF" w:rsidRPr="00227C6E">
        <w:rPr>
          <w:rFonts w:asciiTheme="minorHAnsi" w:hAnsiTheme="minorHAnsi" w:cstheme="minorHAnsi"/>
          <w:sz w:val="22"/>
          <w:szCs w:val="22"/>
        </w:rPr>
        <w:t xml:space="preserve">eview </w:t>
      </w:r>
      <w:r w:rsidR="002C5DBF">
        <w:rPr>
          <w:rFonts w:asciiTheme="minorHAnsi" w:hAnsiTheme="minorHAnsi" w:cstheme="minorHAnsi"/>
          <w:sz w:val="22"/>
          <w:szCs w:val="22"/>
        </w:rPr>
        <w:t>s</w:t>
      </w:r>
      <w:r w:rsidR="002C5DBF" w:rsidRPr="00227C6E">
        <w:rPr>
          <w:rFonts w:asciiTheme="minorHAnsi" w:hAnsiTheme="minorHAnsi" w:cstheme="minorHAnsi"/>
          <w:sz w:val="22"/>
          <w:szCs w:val="22"/>
        </w:rPr>
        <w:t xml:space="preserve">ubcommittee </w:t>
      </w:r>
      <w:r w:rsidRPr="00227C6E">
        <w:rPr>
          <w:rFonts w:asciiTheme="minorHAnsi" w:hAnsiTheme="minorHAnsi" w:cstheme="minorHAnsi"/>
          <w:sz w:val="22"/>
          <w:szCs w:val="22"/>
        </w:rPr>
        <w:t>(UPRS) has adhered to the policy for all program reviews since it was implemented.</w:t>
      </w:r>
      <w:r w:rsidR="00224F94" w:rsidRPr="00227C6E">
        <w:rPr>
          <w:rFonts w:asciiTheme="minorHAnsi" w:hAnsiTheme="minorHAnsi" w:cstheme="minorHAnsi"/>
          <w:sz w:val="22"/>
          <w:szCs w:val="22"/>
        </w:rPr>
        <w:t xml:space="preserve"> </w:t>
      </w:r>
    </w:p>
    <w:p w14:paraId="4FE808E3" w14:textId="275FF8B2" w:rsidR="00806E6E" w:rsidRPr="00227C6E" w:rsidRDefault="00641117" w:rsidP="00D33AC9">
      <w:pPr>
        <w:pStyle w:val="Default"/>
        <w:spacing w:line="480" w:lineRule="auto"/>
        <w:rPr>
          <w:rFonts w:asciiTheme="minorHAnsi" w:hAnsiTheme="minorHAnsi" w:cstheme="minorHAnsi"/>
          <w:sz w:val="22"/>
          <w:szCs w:val="22"/>
        </w:rPr>
      </w:pPr>
      <w:r w:rsidRPr="008B4DB2">
        <w:rPr>
          <w:rStyle w:val="Heading2Char"/>
        </w:rPr>
        <w:t>Recommendation #3:</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Fully implementing a comprehensive strategic planning process that identifies measurable goals and aligns financial resources with those goals. (CFR 4.6) </w:t>
      </w:r>
    </w:p>
    <w:p w14:paraId="13A9DE82" w14:textId="6363603E" w:rsidR="00641117" w:rsidRPr="00227C6E" w:rsidRDefault="00641117" w:rsidP="00D33AC9">
      <w:pPr>
        <w:pStyle w:val="Default"/>
        <w:spacing w:line="480" w:lineRule="auto"/>
        <w:ind w:left="720"/>
        <w:rPr>
          <w:rFonts w:asciiTheme="minorHAnsi" w:hAnsiTheme="minorHAnsi" w:cstheme="minorHAnsi"/>
          <w:sz w:val="22"/>
          <w:szCs w:val="22"/>
        </w:rPr>
      </w:pPr>
      <w:r w:rsidRPr="001746A9">
        <w:rPr>
          <w:rStyle w:val="Strong"/>
        </w:rPr>
        <w:t>Current Status:</w:t>
      </w:r>
      <w:r w:rsidR="00224F94" w:rsidRPr="00227C6E">
        <w:rPr>
          <w:rFonts w:asciiTheme="minorHAnsi" w:hAnsiTheme="minorHAnsi" w:cstheme="minorHAnsi"/>
          <w:sz w:val="22"/>
          <w:szCs w:val="22"/>
        </w:rPr>
        <w:t xml:space="preserve"> </w:t>
      </w:r>
      <w:r w:rsidRPr="00227C6E">
        <w:rPr>
          <w:rFonts w:asciiTheme="minorHAnsi" w:hAnsiTheme="minorHAnsi" w:cstheme="minorHAnsi"/>
          <w:sz w:val="22"/>
          <w:szCs w:val="22"/>
        </w:rPr>
        <w:t>SSU engaged the campus community in an intensive strategic planning process during the 201</w:t>
      </w:r>
      <w:r w:rsidR="00DD45AC" w:rsidRPr="00227C6E">
        <w:rPr>
          <w:rFonts w:asciiTheme="minorHAnsi" w:hAnsiTheme="minorHAnsi" w:cstheme="minorHAnsi"/>
          <w:sz w:val="22"/>
          <w:szCs w:val="22"/>
        </w:rPr>
        <w:t>7</w:t>
      </w:r>
      <w:r w:rsidRPr="00227C6E">
        <w:rPr>
          <w:rFonts w:asciiTheme="minorHAnsi" w:hAnsiTheme="minorHAnsi" w:cstheme="minorHAnsi"/>
          <w:sz w:val="22"/>
          <w:szCs w:val="22"/>
        </w:rPr>
        <w:t>-1</w:t>
      </w:r>
      <w:r w:rsidR="00DD45AC" w:rsidRPr="00227C6E">
        <w:rPr>
          <w:rFonts w:asciiTheme="minorHAnsi" w:hAnsiTheme="minorHAnsi" w:cstheme="minorHAnsi"/>
          <w:sz w:val="22"/>
          <w:szCs w:val="22"/>
        </w:rPr>
        <w:t xml:space="preserve">8 </w:t>
      </w:r>
      <w:r w:rsidRPr="00227C6E">
        <w:rPr>
          <w:rFonts w:asciiTheme="minorHAnsi" w:hAnsiTheme="minorHAnsi" w:cstheme="minorHAnsi"/>
          <w:sz w:val="22"/>
          <w:szCs w:val="22"/>
        </w:rPr>
        <w:t>academic year, and a</w:t>
      </w:r>
      <w:r w:rsidR="000474E7" w:rsidRPr="00227C6E">
        <w:rPr>
          <w:rFonts w:asciiTheme="minorHAnsi" w:hAnsiTheme="minorHAnsi" w:cstheme="minorHAnsi"/>
          <w:sz w:val="22"/>
          <w:szCs w:val="22"/>
        </w:rPr>
        <w:t xml:space="preserve"> new strategic plan</w:t>
      </w:r>
      <w:r w:rsidRPr="00227C6E">
        <w:rPr>
          <w:rFonts w:asciiTheme="minorHAnsi" w:hAnsiTheme="minorHAnsi" w:cstheme="minorHAnsi"/>
          <w:sz w:val="22"/>
          <w:szCs w:val="22"/>
        </w:rPr>
        <w:t xml:space="preserve"> was finalized </w:t>
      </w:r>
      <w:r w:rsidR="00157210" w:rsidRPr="00227C6E">
        <w:rPr>
          <w:rFonts w:asciiTheme="minorHAnsi" w:hAnsiTheme="minorHAnsi" w:cstheme="minorHAnsi"/>
          <w:sz w:val="22"/>
          <w:szCs w:val="22"/>
        </w:rPr>
        <w:t>in May 201</w:t>
      </w:r>
      <w:r w:rsidR="00DD45AC" w:rsidRPr="00227C6E">
        <w:rPr>
          <w:rFonts w:asciiTheme="minorHAnsi" w:hAnsiTheme="minorHAnsi" w:cstheme="minorHAnsi"/>
          <w:sz w:val="22"/>
          <w:szCs w:val="22"/>
        </w:rPr>
        <w:t>8</w:t>
      </w:r>
      <w:r w:rsidRPr="00227C6E">
        <w:rPr>
          <w:rFonts w:asciiTheme="minorHAnsi" w:hAnsiTheme="minorHAnsi" w:cstheme="minorHAnsi"/>
          <w:sz w:val="22"/>
          <w:szCs w:val="22"/>
        </w:rPr>
        <w:t>.</w:t>
      </w:r>
      <w:r w:rsidR="00224F94" w:rsidRPr="00227C6E">
        <w:rPr>
          <w:rFonts w:asciiTheme="minorHAnsi" w:hAnsiTheme="minorHAnsi" w:cstheme="minorHAnsi"/>
          <w:sz w:val="22"/>
          <w:szCs w:val="22"/>
        </w:rPr>
        <w:t xml:space="preserve"> </w:t>
      </w:r>
      <w:r w:rsidR="00157210" w:rsidRPr="00227C6E">
        <w:rPr>
          <w:rFonts w:asciiTheme="minorHAnsi" w:hAnsiTheme="minorHAnsi" w:cstheme="minorHAnsi"/>
          <w:sz w:val="22"/>
          <w:szCs w:val="22"/>
        </w:rPr>
        <w:t>The implementation process occurred during the 201</w:t>
      </w:r>
      <w:r w:rsidR="00DD45AC" w:rsidRPr="00227C6E">
        <w:rPr>
          <w:rFonts w:asciiTheme="minorHAnsi" w:hAnsiTheme="minorHAnsi" w:cstheme="minorHAnsi"/>
          <w:sz w:val="22"/>
          <w:szCs w:val="22"/>
        </w:rPr>
        <w:t>8</w:t>
      </w:r>
      <w:r w:rsidR="00157210" w:rsidRPr="00227C6E">
        <w:rPr>
          <w:rFonts w:asciiTheme="minorHAnsi" w:hAnsiTheme="minorHAnsi" w:cstheme="minorHAnsi"/>
          <w:sz w:val="22"/>
          <w:szCs w:val="22"/>
        </w:rPr>
        <w:t>-</w:t>
      </w:r>
      <w:r w:rsidR="00DD45AC" w:rsidRPr="00227C6E">
        <w:rPr>
          <w:rFonts w:asciiTheme="minorHAnsi" w:hAnsiTheme="minorHAnsi" w:cstheme="minorHAnsi"/>
          <w:sz w:val="22"/>
          <w:szCs w:val="22"/>
        </w:rPr>
        <w:t>19</w:t>
      </w:r>
      <w:r w:rsidR="00157210" w:rsidRPr="00227C6E">
        <w:rPr>
          <w:rFonts w:asciiTheme="minorHAnsi" w:hAnsiTheme="minorHAnsi" w:cstheme="minorHAnsi"/>
          <w:sz w:val="22"/>
          <w:szCs w:val="22"/>
        </w:rPr>
        <w:t xml:space="preserve"> academic year, as all campus units began aligning their strategic plans with the new SSU strategic plan and instituting tracking processes </w:t>
      </w:r>
      <w:r w:rsidR="00157210" w:rsidRPr="00227C6E">
        <w:rPr>
          <w:rFonts w:asciiTheme="minorHAnsi" w:hAnsiTheme="minorHAnsi" w:cstheme="minorHAnsi"/>
          <w:sz w:val="22"/>
          <w:szCs w:val="22"/>
        </w:rPr>
        <w:lastRenderedPageBreak/>
        <w:t>to measure progress on strategic goals.</w:t>
      </w:r>
      <w:r w:rsidR="00224F94" w:rsidRPr="00227C6E">
        <w:rPr>
          <w:rFonts w:asciiTheme="minorHAnsi" w:hAnsiTheme="minorHAnsi" w:cstheme="minorHAnsi"/>
          <w:sz w:val="22"/>
          <w:szCs w:val="22"/>
        </w:rPr>
        <w:t xml:space="preserve"> The campus also initiated a strategic budgeting process that is </w:t>
      </w:r>
      <w:r w:rsidR="00797041" w:rsidRPr="00227C6E">
        <w:rPr>
          <w:rFonts w:asciiTheme="minorHAnsi" w:hAnsiTheme="minorHAnsi" w:cstheme="minorHAnsi"/>
          <w:sz w:val="22"/>
          <w:szCs w:val="22"/>
        </w:rPr>
        <w:t xml:space="preserve">aligning </w:t>
      </w:r>
      <w:r w:rsidR="00224F94" w:rsidRPr="00227C6E">
        <w:rPr>
          <w:rFonts w:asciiTheme="minorHAnsi" w:hAnsiTheme="minorHAnsi" w:cstheme="minorHAnsi"/>
          <w:sz w:val="22"/>
          <w:szCs w:val="22"/>
        </w:rPr>
        <w:t xml:space="preserve">campus financial </w:t>
      </w:r>
      <w:r w:rsidR="00900AD0" w:rsidRPr="00227C6E">
        <w:rPr>
          <w:rFonts w:asciiTheme="minorHAnsi" w:hAnsiTheme="minorHAnsi" w:cstheme="minorHAnsi"/>
          <w:sz w:val="22"/>
          <w:szCs w:val="22"/>
        </w:rPr>
        <w:t>resources with the new strategic priorities.</w:t>
      </w:r>
    </w:p>
    <w:p w14:paraId="76C9E63C" w14:textId="2B79CC7A" w:rsidR="00806E6E" w:rsidRPr="00227C6E" w:rsidRDefault="00AC4A8B" w:rsidP="00D33AC9">
      <w:pPr>
        <w:pStyle w:val="Default"/>
        <w:spacing w:line="480" w:lineRule="auto"/>
        <w:rPr>
          <w:rFonts w:asciiTheme="minorHAnsi" w:hAnsiTheme="minorHAnsi" w:cstheme="minorHAnsi"/>
          <w:sz w:val="22"/>
          <w:szCs w:val="22"/>
        </w:rPr>
      </w:pPr>
      <w:r w:rsidRPr="00DB319B">
        <w:rPr>
          <w:rStyle w:val="Heading2Char"/>
        </w:rPr>
        <w:t>Recommendation #4:</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Effectively using newly implemented data tools (like the CSU data dashboards) to enhance student learning and success. (CFR 4.2) </w:t>
      </w:r>
    </w:p>
    <w:p w14:paraId="3A9270CD" w14:textId="7B0EFE2A" w:rsidR="00AC4A8B" w:rsidRPr="00227C6E" w:rsidRDefault="00AC4A8B" w:rsidP="00D33AC9">
      <w:pPr>
        <w:pStyle w:val="Default"/>
        <w:spacing w:line="480" w:lineRule="auto"/>
        <w:ind w:left="720"/>
        <w:rPr>
          <w:rFonts w:asciiTheme="minorHAnsi" w:hAnsiTheme="minorHAnsi" w:cstheme="minorHAnsi"/>
          <w:sz w:val="22"/>
          <w:szCs w:val="22"/>
        </w:rPr>
      </w:pPr>
      <w:r w:rsidRPr="001746A9">
        <w:rPr>
          <w:rStyle w:val="Strong"/>
        </w:rPr>
        <w:t>Current Status:</w:t>
      </w:r>
      <w:r w:rsidR="00224F94" w:rsidRPr="00227C6E">
        <w:rPr>
          <w:rFonts w:asciiTheme="minorHAnsi" w:hAnsiTheme="minorHAnsi" w:cstheme="minorHAnsi"/>
          <w:sz w:val="22"/>
          <w:szCs w:val="22"/>
        </w:rPr>
        <w:t xml:space="preserve"> </w:t>
      </w:r>
      <w:r w:rsidR="00A721E0" w:rsidRPr="00227C6E">
        <w:rPr>
          <w:rFonts w:asciiTheme="minorHAnsi" w:hAnsiTheme="minorHAnsi" w:cstheme="minorHAnsi"/>
          <w:sz w:val="22"/>
          <w:szCs w:val="22"/>
        </w:rPr>
        <w:t xml:space="preserve">SSU’s use of data tools has dramatically increased since </w:t>
      </w:r>
      <w:r w:rsidR="00224F94" w:rsidRPr="00227C6E">
        <w:rPr>
          <w:rFonts w:asciiTheme="minorHAnsi" w:hAnsiTheme="minorHAnsi" w:cstheme="minorHAnsi"/>
          <w:sz w:val="22"/>
          <w:szCs w:val="22"/>
        </w:rPr>
        <w:t xml:space="preserve">the </w:t>
      </w:r>
      <w:r w:rsidR="00A721E0" w:rsidRPr="00227C6E">
        <w:rPr>
          <w:rFonts w:asciiTheme="minorHAnsi" w:hAnsiTheme="minorHAnsi" w:cstheme="minorHAnsi"/>
          <w:sz w:val="22"/>
          <w:szCs w:val="22"/>
        </w:rPr>
        <w:t xml:space="preserve">2017 </w:t>
      </w:r>
      <w:r w:rsidR="00224F94" w:rsidRPr="00227C6E">
        <w:rPr>
          <w:rFonts w:asciiTheme="minorHAnsi" w:hAnsiTheme="minorHAnsi" w:cstheme="minorHAnsi"/>
          <w:sz w:val="22"/>
          <w:szCs w:val="22"/>
        </w:rPr>
        <w:t xml:space="preserve">WSCUC site </w:t>
      </w:r>
      <w:r w:rsidR="00A721E0" w:rsidRPr="00227C6E">
        <w:rPr>
          <w:rFonts w:asciiTheme="minorHAnsi" w:hAnsiTheme="minorHAnsi" w:cstheme="minorHAnsi"/>
          <w:sz w:val="22"/>
          <w:szCs w:val="22"/>
        </w:rPr>
        <w:t>visit.</w:t>
      </w:r>
      <w:r w:rsidR="00224F94" w:rsidRPr="00227C6E">
        <w:rPr>
          <w:rFonts w:asciiTheme="minorHAnsi" w:hAnsiTheme="minorHAnsi" w:cstheme="minorHAnsi"/>
          <w:sz w:val="22"/>
          <w:szCs w:val="22"/>
        </w:rPr>
        <w:t xml:space="preserve"> </w:t>
      </w:r>
      <w:r w:rsidR="00A721E0" w:rsidRPr="00227C6E">
        <w:rPr>
          <w:rFonts w:asciiTheme="minorHAnsi" w:hAnsiTheme="minorHAnsi" w:cstheme="minorHAnsi"/>
          <w:sz w:val="22"/>
          <w:szCs w:val="22"/>
        </w:rPr>
        <w:t>This expansion has enabled the campus to engage in data-driven decision</w:t>
      </w:r>
      <w:r w:rsidR="00AD5B8C">
        <w:rPr>
          <w:rFonts w:asciiTheme="minorHAnsi" w:hAnsiTheme="minorHAnsi" w:cstheme="minorHAnsi"/>
          <w:sz w:val="22"/>
          <w:szCs w:val="22"/>
        </w:rPr>
        <w:t xml:space="preserve"> </w:t>
      </w:r>
      <w:r w:rsidR="00A721E0" w:rsidRPr="00227C6E">
        <w:rPr>
          <w:rFonts w:asciiTheme="minorHAnsi" w:hAnsiTheme="minorHAnsi" w:cstheme="minorHAnsi"/>
          <w:sz w:val="22"/>
          <w:szCs w:val="22"/>
        </w:rPr>
        <w:t>making to a much greater extent than in previous years</w:t>
      </w:r>
      <w:r w:rsidR="00CA0C07" w:rsidRPr="00227C6E">
        <w:rPr>
          <w:rFonts w:asciiTheme="minorHAnsi" w:hAnsiTheme="minorHAnsi" w:cstheme="minorHAnsi"/>
          <w:sz w:val="22"/>
          <w:szCs w:val="22"/>
        </w:rPr>
        <w:t>, partially</w:t>
      </w:r>
      <w:r w:rsidR="00224F94" w:rsidRPr="00227C6E">
        <w:rPr>
          <w:rFonts w:asciiTheme="minorHAnsi" w:hAnsiTheme="minorHAnsi" w:cstheme="minorHAnsi"/>
          <w:sz w:val="22"/>
          <w:szCs w:val="22"/>
        </w:rPr>
        <w:t xml:space="preserve"> as a result of having reorganized the </w:t>
      </w:r>
      <w:r w:rsidR="002C5DBF">
        <w:rPr>
          <w:rFonts w:asciiTheme="minorHAnsi" w:hAnsiTheme="minorHAnsi" w:cstheme="minorHAnsi"/>
          <w:sz w:val="22"/>
          <w:szCs w:val="22"/>
        </w:rPr>
        <w:t>o</w:t>
      </w:r>
      <w:r w:rsidR="002C5DBF" w:rsidRPr="00227C6E">
        <w:rPr>
          <w:rFonts w:asciiTheme="minorHAnsi" w:hAnsiTheme="minorHAnsi" w:cstheme="minorHAnsi"/>
          <w:sz w:val="22"/>
          <w:szCs w:val="22"/>
        </w:rPr>
        <w:t xml:space="preserve">ffice </w:t>
      </w:r>
      <w:r w:rsidR="00224F94" w:rsidRPr="00227C6E">
        <w:rPr>
          <w:rFonts w:asciiTheme="minorHAnsi" w:hAnsiTheme="minorHAnsi" w:cstheme="minorHAnsi"/>
          <w:sz w:val="22"/>
          <w:szCs w:val="22"/>
        </w:rPr>
        <w:t xml:space="preserve">of </w:t>
      </w:r>
      <w:r w:rsidR="002C5DBF">
        <w:rPr>
          <w:rFonts w:asciiTheme="minorHAnsi" w:hAnsiTheme="minorHAnsi" w:cstheme="minorHAnsi"/>
          <w:sz w:val="22"/>
          <w:szCs w:val="22"/>
        </w:rPr>
        <w:t>reporting and analytics</w:t>
      </w:r>
      <w:r w:rsidR="00CA0C07" w:rsidRPr="00227C6E">
        <w:rPr>
          <w:rFonts w:asciiTheme="minorHAnsi" w:hAnsiTheme="minorHAnsi" w:cstheme="minorHAnsi"/>
          <w:sz w:val="22"/>
          <w:szCs w:val="22"/>
        </w:rPr>
        <w:t xml:space="preserve"> as the</w:t>
      </w:r>
      <w:r w:rsidR="000474E7" w:rsidRPr="00227C6E">
        <w:rPr>
          <w:rFonts w:asciiTheme="minorHAnsi" w:hAnsiTheme="minorHAnsi" w:cstheme="minorHAnsi"/>
          <w:sz w:val="22"/>
          <w:szCs w:val="22"/>
        </w:rPr>
        <w:t xml:space="preserve"> </w:t>
      </w:r>
      <w:r w:rsidR="002C5DBF">
        <w:rPr>
          <w:rFonts w:asciiTheme="minorHAnsi" w:hAnsiTheme="minorHAnsi" w:cstheme="minorHAnsi"/>
          <w:sz w:val="22"/>
          <w:szCs w:val="22"/>
        </w:rPr>
        <w:t>o</w:t>
      </w:r>
      <w:r w:rsidR="002C5DBF" w:rsidRPr="00227C6E">
        <w:rPr>
          <w:rFonts w:asciiTheme="minorHAnsi" w:hAnsiTheme="minorHAnsi" w:cstheme="minorHAnsi"/>
          <w:sz w:val="22"/>
          <w:szCs w:val="22"/>
        </w:rPr>
        <w:t xml:space="preserve">ffice </w:t>
      </w:r>
      <w:r w:rsidR="000474E7" w:rsidRPr="00227C6E">
        <w:rPr>
          <w:rFonts w:asciiTheme="minorHAnsi" w:hAnsiTheme="minorHAnsi" w:cstheme="minorHAnsi"/>
          <w:sz w:val="22"/>
          <w:szCs w:val="22"/>
        </w:rPr>
        <w:t xml:space="preserve">of </w:t>
      </w:r>
      <w:r w:rsidR="002C5DBF">
        <w:rPr>
          <w:rFonts w:asciiTheme="minorHAnsi" w:hAnsiTheme="minorHAnsi" w:cstheme="minorHAnsi"/>
          <w:sz w:val="22"/>
          <w:szCs w:val="22"/>
        </w:rPr>
        <w:t>i</w:t>
      </w:r>
      <w:r w:rsidR="002C5DBF" w:rsidRPr="00227C6E">
        <w:rPr>
          <w:rFonts w:asciiTheme="minorHAnsi" w:hAnsiTheme="minorHAnsi" w:cstheme="minorHAnsi"/>
          <w:sz w:val="22"/>
          <w:szCs w:val="22"/>
        </w:rPr>
        <w:t xml:space="preserve">nstitutional </w:t>
      </w:r>
      <w:r w:rsidR="002C5DBF">
        <w:rPr>
          <w:rFonts w:asciiTheme="minorHAnsi" w:hAnsiTheme="minorHAnsi" w:cstheme="minorHAnsi"/>
          <w:sz w:val="22"/>
          <w:szCs w:val="22"/>
        </w:rPr>
        <w:t>e</w:t>
      </w:r>
      <w:r w:rsidR="002C5DBF" w:rsidRPr="00227C6E">
        <w:rPr>
          <w:rFonts w:asciiTheme="minorHAnsi" w:hAnsiTheme="minorHAnsi" w:cstheme="minorHAnsi"/>
          <w:sz w:val="22"/>
          <w:szCs w:val="22"/>
        </w:rPr>
        <w:t>ffectiveness</w:t>
      </w:r>
      <w:r w:rsidR="002C5DBF">
        <w:rPr>
          <w:rFonts w:asciiTheme="minorHAnsi" w:hAnsiTheme="minorHAnsi" w:cstheme="minorHAnsi"/>
          <w:sz w:val="22"/>
          <w:szCs w:val="22"/>
        </w:rPr>
        <w:t xml:space="preserve"> (OIE)</w:t>
      </w:r>
      <w:r w:rsidR="002C5DBF" w:rsidRPr="00227C6E">
        <w:rPr>
          <w:rFonts w:asciiTheme="minorHAnsi" w:hAnsiTheme="minorHAnsi" w:cstheme="minorHAnsi"/>
          <w:sz w:val="22"/>
          <w:szCs w:val="22"/>
        </w:rPr>
        <w:t xml:space="preserve"> </w:t>
      </w:r>
      <w:r w:rsidR="00CA0C07" w:rsidRPr="00227C6E">
        <w:rPr>
          <w:rFonts w:asciiTheme="minorHAnsi" w:hAnsiTheme="minorHAnsi" w:cstheme="minorHAnsi"/>
          <w:sz w:val="22"/>
          <w:szCs w:val="22"/>
        </w:rPr>
        <w:t xml:space="preserve">headed by an </w:t>
      </w:r>
      <w:r w:rsidR="00227C6E" w:rsidRPr="00227C6E">
        <w:rPr>
          <w:rFonts w:asciiTheme="minorHAnsi" w:hAnsiTheme="minorHAnsi" w:cstheme="minorHAnsi"/>
          <w:sz w:val="22"/>
          <w:szCs w:val="22"/>
        </w:rPr>
        <w:t>associate v</w:t>
      </w:r>
      <w:r w:rsidR="00CA0C07" w:rsidRPr="00227C6E">
        <w:rPr>
          <w:rFonts w:asciiTheme="minorHAnsi" w:hAnsiTheme="minorHAnsi" w:cstheme="minorHAnsi"/>
          <w:sz w:val="22"/>
          <w:szCs w:val="22"/>
        </w:rPr>
        <w:t xml:space="preserve">ice </w:t>
      </w:r>
      <w:r w:rsidR="00227C6E" w:rsidRPr="00227C6E">
        <w:rPr>
          <w:rFonts w:asciiTheme="minorHAnsi" w:hAnsiTheme="minorHAnsi" w:cstheme="minorHAnsi"/>
          <w:sz w:val="22"/>
          <w:szCs w:val="22"/>
        </w:rPr>
        <w:t>p</w:t>
      </w:r>
      <w:r w:rsidR="00CA0C07" w:rsidRPr="00227C6E">
        <w:rPr>
          <w:rFonts w:asciiTheme="minorHAnsi" w:hAnsiTheme="minorHAnsi" w:cstheme="minorHAnsi"/>
          <w:sz w:val="22"/>
          <w:szCs w:val="22"/>
        </w:rPr>
        <w:t>resident. SSU</w:t>
      </w:r>
      <w:r w:rsidR="00A721E0" w:rsidRPr="00227C6E">
        <w:rPr>
          <w:rFonts w:asciiTheme="minorHAnsi" w:hAnsiTheme="minorHAnsi" w:cstheme="minorHAnsi"/>
          <w:sz w:val="22"/>
          <w:szCs w:val="22"/>
        </w:rPr>
        <w:t xml:space="preserve"> has also greatly improved the institution’s ability to support student success and retention</w:t>
      </w:r>
      <w:r w:rsidR="00797041" w:rsidRPr="00227C6E">
        <w:rPr>
          <w:rFonts w:asciiTheme="minorHAnsi" w:hAnsiTheme="minorHAnsi" w:cstheme="minorHAnsi"/>
          <w:sz w:val="22"/>
          <w:szCs w:val="22"/>
        </w:rPr>
        <w:t xml:space="preserve">, through implementing </w:t>
      </w:r>
      <w:r w:rsidR="00A721E0" w:rsidRPr="00227C6E">
        <w:rPr>
          <w:rFonts w:asciiTheme="minorHAnsi" w:hAnsiTheme="minorHAnsi" w:cstheme="minorHAnsi"/>
          <w:sz w:val="22"/>
          <w:szCs w:val="22"/>
        </w:rPr>
        <w:t>multiple new systems</w:t>
      </w:r>
      <w:r w:rsidR="00CA0C07" w:rsidRPr="00227C6E">
        <w:rPr>
          <w:rFonts w:asciiTheme="minorHAnsi" w:hAnsiTheme="minorHAnsi" w:cstheme="minorHAnsi"/>
          <w:sz w:val="22"/>
          <w:szCs w:val="22"/>
        </w:rPr>
        <w:t>,</w:t>
      </w:r>
      <w:r w:rsidR="00A721E0" w:rsidRPr="00227C6E">
        <w:rPr>
          <w:rFonts w:asciiTheme="minorHAnsi" w:hAnsiTheme="minorHAnsi" w:cstheme="minorHAnsi"/>
          <w:sz w:val="22"/>
          <w:szCs w:val="22"/>
        </w:rPr>
        <w:t xml:space="preserve"> including Tableau, the CSU’s</w:t>
      </w:r>
      <w:r w:rsidR="000474E7" w:rsidRPr="00227C6E">
        <w:rPr>
          <w:rFonts w:asciiTheme="minorHAnsi" w:hAnsiTheme="minorHAnsi" w:cstheme="minorHAnsi"/>
          <w:sz w:val="22"/>
          <w:szCs w:val="22"/>
        </w:rPr>
        <w:t xml:space="preserve"> </w:t>
      </w:r>
      <w:r w:rsidR="002C5DBF">
        <w:rPr>
          <w:rFonts w:asciiTheme="minorHAnsi" w:hAnsiTheme="minorHAnsi" w:cstheme="minorHAnsi"/>
          <w:sz w:val="22"/>
          <w:szCs w:val="22"/>
        </w:rPr>
        <w:t>s</w:t>
      </w:r>
      <w:r w:rsidR="002C5DBF" w:rsidRPr="00227C6E">
        <w:rPr>
          <w:rFonts w:asciiTheme="minorHAnsi" w:hAnsiTheme="minorHAnsi" w:cstheme="minorHAnsi"/>
          <w:sz w:val="22"/>
          <w:szCs w:val="22"/>
        </w:rPr>
        <w:t xml:space="preserve">tudent </w:t>
      </w:r>
      <w:r w:rsidR="002C5DBF">
        <w:rPr>
          <w:rFonts w:asciiTheme="minorHAnsi" w:hAnsiTheme="minorHAnsi" w:cstheme="minorHAnsi"/>
          <w:sz w:val="22"/>
          <w:szCs w:val="22"/>
        </w:rPr>
        <w:t>s</w:t>
      </w:r>
      <w:r w:rsidR="002C5DBF" w:rsidRPr="00227C6E">
        <w:rPr>
          <w:rFonts w:asciiTheme="minorHAnsi" w:hAnsiTheme="minorHAnsi" w:cstheme="minorHAnsi"/>
          <w:sz w:val="22"/>
          <w:szCs w:val="22"/>
        </w:rPr>
        <w:t xml:space="preserve">uccess </w:t>
      </w:r>
      <w:r w:rsidR="002C5DBF">
        <w:rPr>
          <w:rFonts w:asciiTheme="minorHAnsi" w:hAnsiTheme="minorHAnsi" w:cstheme="minorHAnsi"/>
          <w:sz w:val="22"/>
          <w:szCs w:val="22"/>
        </w:rPr>
        <w:t>d</w:t>
      </w:r>
      <w:r w:rsidR="002C5DBF" w:rsidRPr="00227C6E">
        <w:rPr>
          <w:rFonts w:asciiTheme="minorHAnsi" w:hAnsiTheme="minorHAnsi" w:cstheme="minorHAnsi"/>
          <w:sz w:val="22"/>
          <w:szCs w:val="22"/>
        </w:rPr>
        <w:t>ashboard</w:t>
      </w:r>
      <w:r w:rsidR="00A721E0" w:rsidRPr="00227C6E">
        <w:rPr>
          <w:rFonts w:asciiTheme="minorHAnsi" w:hAnsiTheme="minorHAnsi" w:cstheme="minorHAnsi"/>
          <w:sz w:val="22"/>
          <w:szCs w:val="22"/>
        </w:rPr>
        <w:t xml:space="preserve">, </w:t>
      </w:r>
      <w:proofErr w:type="spellStart"/>
      <w:r w:rsidR="00A721E0" w:rsidRPr="00227C6E">
        <w:rPr>
          <w:rFonts w:asciiTheme="minorHAnsi" w:hAnsiTheme="minorHAnsi" w:cstheme="minorHAnsi"/>
          <w:sz w:val="22"/>
          <w:szCs w:val="22"/>
        </w:rPr>
        <w:t>LoboConnect</w:t>
      </w:r>
      <w:proofErr w:type="spellEnd"/>
      <w:r w:rsidR="00A721E0" w:rsidRPr="00227C6E">
        <w:rPr>
          <w:rFonts w:asciiTheme="minorHAnsi" w:hAnsiTheme="minorHAnsi" w:cstheme="minorHAnsi"/>
          <w:sz w:val="22"/>
          <w:szCs w:val="22"/>
        </w:rPr>
        <w:t xml:space="preserve">, and </w:t>
      </w:r>
      <w:proofErr w:type="spellStart"/>
      <w:r w:rsidR="00A721E0" w:rsidRPr="00227C6E">
        <w:rPr>
          <w:rFonts w:asciiTheme="minorHAnsi" w:hAnsiTheme="minorHAnsi" w:cstheme="minorHAnsi"/>
          <w:sz w:val="22"/>
          <w:szCs w:val="22"/>
        </w:rPr>
        <w:t>Engage@SSU</w:t>
      </w:r>
      <w:proofErr w:type="spellEnd"/>
      <w:r w:rsidR="00A721E0" w:rsidRPr="00227C6E">
        <w:rPr>
          <w:rFonts w:asciiTheme="minorHAnsi" w:hAnsiTheme="minorHAnsi" w:cstheme="minorHAnsi"/>
          <w:sz w:val="22"/>
          <w:szCs w:val="22"/>
        </w:rPr>
        <w:t>.</w:t>
      </w:r>
    </w:p>
    <w:p w14:paraId="1EFE3C9F" w14:textId="49AC72C1" w:rsidR="00806E6E" w:rsidRPr="00227C6E" w:rsidRDefault="00AC4A8B" w:rsidP="00D33AC9">
      <w:pPr>
        <w:pStyle w:val="Default"/>
        <w:spacing w:line="480" w:lineRule="auto"/>
        <w:rPr>
          <w:rFonts w:asciiTheme="minorHAnsi" w:hAnsiTheme="minorHAnsi" w:cstheme="minorHAnsi"/>
          <w:sz w:val="22"/>
          <w:szCs w:val="22"/>
        </w:rPr>
      </w:pPr>
      <w:r w:rsidRPr="00DB319B">
        <w:rPr>
          <w:rStyle w:val="Heading2Char"/>
        </w:rPr>
        <w:t>Recommendation #5:</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Creating an IT strategic plan to improve the student experience and advance the mission and vision of the institution. (CFR 4.6) </w:t>
      </w:r>
    </w:p>
    <w:p w14:paraId="1A685291" w14:textId="175C6523" w:rsidR="00AC4A8B" w:rsidRPr="00227C6E" w:rsidRDefault="00AC4A8B" w:rsidP="00D33AC9">
      <w:pPr>
        <w:pStyle w:val="Default"/>
        <w:spacing w:line="480" w:lineRule="auto"/>
        <w:ind w:left="720"/>
        <w:rPr>
          <w:rFonts w:asciiTheme="minorHAnsi" w:hAnsiTheme="minorHAnsi" w:cstheme="minorHAnsi"/>
          <w:sz w:val="22"/>
          <w:szCs w:val="22"/>
        </w:rPr>
      </w:pPr>
      <w:r w:rsidRPr="001746A9">
        <w:rPr>
          <w:rStyle w:val="Strong"/>
        </w:rPr>
        <w:t>Current Status:</w:t>
      </w:r>
      <w:r w:rsidR="00224F94" w:rsidRPr="00227C6E">
        <w:rPr>
          <w:rFonts w:asciiTheme="minorHAnsi" w:hAnsiTheme="minorHAnsi" w:cstheme="minorHAnsi"/>
          <w:sz w:val="22"/>
          <w:szCs w:val="22"/>
        </w:rPr>
        <w:t xml:space="preserve"> </w:t>
      </w:r>
      <w:r w:rsidR="00EE0881" w:rsidRPr="00227C6E">
        <w:rPr>
          <w:rFonts w:asciiTheme="minorHAnsi" w:hAnsiTheme="minorHAnsi" w:cstheme="minorHAnsi"/>
          <w:sz w:val="22"/>
          <w:szCs w:val="22"/>
        </w:rPr>
        <w:t xml:space="preserve">Since </w:t>
      </w:r>
      <w:r w:rsidR="00F61959" w:rsidRPr="00227C6E">
        <w:rPr>
          <w:rFonts w:asciiTheme="minorHAnsi" w:hAnsiTheme="minorHAnsi" w:cstheme="minorHAnsi"/>
          <w:sz w:val="22"/>
          <w:szCs w:val="22"/>
        </w:rPr>
        <w:t>WSCUC</w:t>
      </w:r>
      <w:r w:rsidR="00EE0881" w:rsidRPr="00227C6E">
        <w:rPr>
          <w:rFonts w:asciiTheme="minorHAnsi" w:hAnsiTheme="minorHAnsi" w:cstheme="minorHAnsi"/>
          <w:sz w:val="22"/>
          <w:szCs w:val="22"/>
        </w:rPr>
        <w:t>’s 2017 visit, SSU has aligned its IT and academic technology efforts to drive the new strategic plan’s priorities, mission, and vision.</w:t>
      </w:r>
      <w:r w:rsidR="00224F94" w:rsidRPr="00227C6E">
        <w:rPr>
          <w:rFonts w:asciiTheme="minorHAnsi" w:hAnsiTheme="minorHAnsi" w:cstheme="minorHAnsi"/>
          <w:sz w:val="22"/>
          <w:szCs w:val="22"/>
        </w:rPr>
        <w:t xml:space="preserve"> </w:t>
      </w:r>
      <w:r w:rsidRPr="00227C6E">
        <w:rPr>
          <w:rFonts w:asciiTheme="minorHAnsi" w:hAnsiTheme="minorHAnsi" w:cstheme="minorHAnsi"/>
          <w:sz w:val="22"/>
          <w:szCs w:val="22"/>
        </w:rPr>
        <w:t>SSU has created both an</w:t>
      </w:r>
      <w:r w:rsidR="000474E7" w:rsidRPr="00227C6E">
        <w:rPr>
          <w:rFonts w:asciiTheme="minorHAnsi" w:hAnsiTheme="minorHAnsi" w:cstheme="minorHAnsi"/>
          <w:sz w:val="22"/>
          <w:szCs w:val="22"/>
        </w:rPr>
        <w:t xml:space="preserve"> IT strategic plan and an academic technology strategic plan</w:t>
      </w:r>
      <w:r w:rsidRPr="00227C6E">
        <w:rPr>
          <w:rFonts w:asciiTheme="minorHAnsi" w:hAnsiTheme="minorHAnsi" w:cstheme="minorHAnsi"/>
          <w:sz w:val="22"/>
          <w:szCs w:val="22"/>
        </w:rPr>
        <w:t xml:space="preserve">, </w:t>
      </w:r>
      <w:r w:rsidR="00EE0881" w:rsidRPr="00227C6E">
        <w:rPr>
          <w:rFonts w:asciiTheme="minorHAnsi" w:hAnsiTheme="minorHAnsi" w:cstheme="minorHAnsi"/>
          <w:sz w:val="22"/>
          <w:szCs w:val="22"/>
        </w:rPr>
        <w:t xml:space="preserve">effectively creating a two-pronged, collaborative effort within </w:t>
      </w:r>
      <w:r w:rsidR="00DB2390">
        <w:rPr>
          <w:rFonts w:asciiTheme="minorHAnsi" w:hAnsiTheme="minorHAnsi" w:cstheme="minorHAnsi"/>
          <w:sz w:val="22"/>
          <w:szCs w:val="22"/>
        </w:rPr>
        <w:t>a</w:t>
      </w:r>
      <w:r w:rsidR="00EE0881" w:rsidRPr="00227C6E">
        <w:rPr>
          <w:rFonts w:asciiTheme="minorHAnsi" w:hAnsiTheme="minorHAnsi" w:cstheme="minorHAnsi"/>
          <w:sz w:val="22"/>
          <w:szCs w:val="22"/>
        </w:rPr>
        <w:t xml:space="preserve">cademic </w:t>
      </w:r>
      <w:r w:rsidR="00DB2390">
        <w:rPr>
          <w:rFonts w:asciiTheme="minorHAnsi" w:hAnsiTheme="minorHAnsi" w:cstheme="minorHAnsi"/>
          <w:sz w:val="22"/>
          <w:szCs w:val="22"/>
        </w:rPr>
        <w:t>a</w:t>
      </w:r>
      <w:r w:rsidR="00EE0881" w:rsidRPr="00227C6E">
        <w:rPr>
          <w:rFonts w:asciiTheme="minorHAnsi" w:hAnsiTheme="minorHAnsi" w:cstheme="minorHAnsi"/>
          <w:sz w:val="22"/>
          <w:szCs w:val="22"/>
        </w:rPr>
        <w:t xml:space="preserve">ffairs to support SSU’s technology needs for </w:t>
      </w:r>
      <w:r w:rsidR="00CA0C07" w:rsidRPr="00227C6E">
        <w:rPr>
          <w:rFonts w:asciiTheme="minorHAnsi" w:hAnsiTheme="minorHAnsi" w:cstheme="minorHAnsi"/>
          <w:sz w:val="22"/>
          <w:szCs w:val="22"/>
        </w:rPr>
        <w:t xml:space="preserve">operational effectiveness and for academic efforts in </w:t>
      </w:r>
      <w:r w:rsidR="00EE0881" w:rsidRPr="00227C6E">
        <w:rPr>
          <w:rFonts w:asciiTheme="minorHAnsi" w:hAnsiTheme="minorHAnsi" w:cstheme="minorHAnsi"/>
          <w:sz w:val="22"/>
          <w:szCs w:val="22"/>
        </w:rPr>
        <w:t>teaching, learning, and student success</w:t>
      </w:r>
      <w:r w:rsidRPr="00227C6E">
        <w:rPr>
          <w:rFonts w:asciiTheme="minorHAnsi" w:hAnsiTheme="minorHAnsi" w:cstheme="minorHAnsi"/>
          <w:sz w:val="22"/>
          <w:szCs w:val="22"/>
        </w:rPr>
        <w:t>.</w:t>
      </w:r>
      <w:r w:rsidR="004A1AF2" w:rsidRPr="00227C6E">
        <w:rPr>
          <w:rFonts w:asciiTheme="minorHAnsi" w:hAnsiTheme="minorHAnsi" w:cstheme="minorHAnsi"/>
          <w:sz w:val="22"/>
          <w:szCs w:val="22"/>
        </w:rPr>
        <w:t xml:space="preserve"> </w:t>
      </w:r>
    </w:p>
    <w:p w14:paraId="2F343DFF" w14:textId="4C62DD2D" w:rsidR="00806E6E" w:rsidRPr="00227C6E" w:rsidRDefault="00AC4A8B" w:rsidP="00D33AC9">
      <w:pPr>
        <w:pStyle w:val="Default"/>
        <w:spacing w:line="480" w:lineRule="auto"/>
        <w:rPr>
          <w:rFonts w:asciiTheme="minorHAnsi" w:hAnsiTheme="minorHAnsi" w:cstheme="minorHAnsi"/>
          <w:sz w:val="22"/>
          <w:szCs w:val="22"/>
        </w:rPr>
      </w:pPr>
      <w:r w:rsidRPr="00DB319B">
        <w:rPr>
          <w:rStyle w:val="Heading2Char"/>
        </w:rPr>
        <w:t>Recommendation #6:</w:t>
      </w:r>
      <w:r w:rsidR="00224F94" w:rsidRPr="00227C6E">
        <w:rPr>
          <w:rFonts w:asciiTheme="minorHAnsi" w:hAnsiTheme="minorHAnsi" w:cstheme="minorHAnsi"/>
          <w:sz w:val="22"/>
          <w:szCs w:val="22"/>
        </w:rPr>
        <w:t xml:space="preserve"> </w:t>
      </w:r>
      <w:r w:rsidR="00806E6E" w:rsidRPr="00227C6E">
        <w:rPr>
          <w:rFonts w:asciiTheme="minorHAnsi" w:hAnsiTheme="minorHAnsi" w:cstheme="minorHAnsi"/>
          <w:sz w:val="22"/>
          <w:szCs w:val="22"/>
        </w:rPr>
        <w:t xml:space="preserve">Creating and implementing a comprehensive diversity plan. (CFR 1.4) </w:t>
      </w:r>
    </w:p>
    <w:p w14:paraId="023B37C2" w14:textId="2185B9F9" w:rsidR="00AC4A8B" w:rsidRPr="00227C6E" w:rsidRDefault="00AC4A8B" w:rsidP="00D33AC9">
      <w:pPr>
        <w:pStyle w:val="Default"/>
        <w:spacing w:line="480" w:lineRule="auto"/>
        <w:ind w:left="720"/>
        <w:rPr>
          <w:rFonts w:asciiTheme="minorHAnsi" w:hAnsiTheme="minorHAnsi" w:cstheme="minorHAnsi"/>
          <w:color w:val="auto"/>
          <w:sz w:val="22"/>
          <w:szCs w:val="22"/>
        </w:rPr>
      </w:pPr>
      <w:r w:rsidRPr="001746A9">
        <w:rPr>
          <w:rStyle w:val="Strong"/>
        </w:rPr>
        <w:t>Current Status:</w:t>
      </w:r>
      <w:r w:rsidR="00224F94" w:rsidRPr="00227C6E">
        <w:rPr>
          <w:rFonts w:asciiTheme="minorHAnsi" w:hAnsiTheme="minorHAnsi" w:cstheme="minorHAnsi"/>
          <w:sz w:val="22"/>
          <w:szCs w:val="22"/>
        </w:rPr>
        <w:t xml:space="preserve"> </w:t>
      </w:r>
      <w:r w:rsidRPr="00227C6E">
        <w:rPr>
          <w:rFonts w:asciiTheme="minorHAnsi" w:hAnsiTheme="minorHAnsi" w:cstheme="minorHAnsi"/>
          <w:sz w:val="22"/>
          <w:szCs w:val="22"/>
        </w:rPr>
        <w:t>SSU has developed a proposed framework for a comprehensive</w:t>
      </w:r>
      <w:r w:rsidR="000474E7" w:rsidRPr="00227C6E">
        <w:rPr>
          <w:rFonts w:asciiTheme="minorHAnsi" w:hAnsiTheme="minorHAnsi" w:cstheme="minorHAnsi"/>
          <w:sz w:val="22"/>
          <w:szCs w:val="22"/>
        </w:rPr>
        <w:t xml:space="preserve"> diversity, equity, and inclusion initiative</w:t>
      </w:r>
      <w:r w:rsidRPr="00227C6E">
        <w:rPr>
          <w:rFonts w:asciiTheme="minorHAnsi" w:hAnsiTheme="minorHAnsi" w:cstheme="minorHAnsi"/>
          <w:sz w:val="22"/>
          <w:szCs w:val="22"/>
        </w:rPr>
        <w:t xml:space="preserve"> </w:t>
      </w:r>
      <w:r w:rsidR="009153FB" w:rsidRPr="00227C6E">
        <w:rPr>
          <w:rFonts w:asciiTheme="minorHAnsi" w:hAnsiTheme="minorHAnsi" w:cstheme="minorHAnsi"/>
          <w:color w:val="auto"/>
          <w:sz w:val="22"/>
          <w:szCs w:val="22"/>
        </w:rPr>
        <w:t xml:space="preserve">headed up by the campus’ new </w:t>
      </w:r>
      <w:r w:rsidR="00227C6E" w:rsidRPr="00227C6E">
        <w:rPr>
          <w:rFonts w:asciiTheme="minorHAnsi" w:hAnsiTheme="minorHAnsi" w:cstheme="minorHAnsi"/>
          <w:color w:val="auto"/>
          <w:sz w:val="22"/>
          <w:szCs w:val="22"/>
        </w:rPr>
        <w:t>c</w:t>
      </w:r>
      <w:r w:rsidR="009153FB" w:rsidRPr="00227C6E">
        <w:rPr>
          <w:rFonts w:asciiTheme="minorHAnsi" w:hAnsiTheme="minorHAnsi" w:cstheme="minorHAnsi"/>
          <w:color w:val="auto"/>
          <w:sz w:val="22"/>
          <w:szCs w:val="22"/>
        </w:rPr>
        <w:t xml:space="preserve">hief </w:t>
      </w:r>
      <w:r w:rsidR="00227C6E" w:rsidRPr="00227C6E">
        <w:rPr>
          <w:rFonts w:asciiTheme="minorHAnsi" w:hAnsiTheme="minorHAnsi" w:cstheme="minorHAnsi"/>
          <w:color w:val="auto"/>
          <w:sz w:val="22"/>
          <w:szCs w:val="22"/>
        </w:rPr>
        <w:t>d</w:t>
      </w:r>
      <w:r w:rsidR="009153FB" w:rsidRPr="00227C6E">
        <w:rPr>
          <w:rFonts w:asciiTheme="minorHAnsi" w:hAnsiTheme="minorHAnsi" w:cstheme="minorHAnsi"/>
          <w:color w:val="auto"/>
          <w:sz w:val="22"/>
          <w:szCs w:val="22"/>
        </w:rPr>
        <w:t xml:space="preserve">iversity </w:t>
      </w:r>
      <w:r w:rsidR="00227C6E" w:rsidRPr="00227C6E">
        <w:rPr>
          <w:rFonts w:asciiTheme="minorHAnsi" w:hAnsiTheme="minorHAnsi" w:cstheme="minorHAnsi"/>
          <w:color w:val="auto"/>
          <w:sz w:val="22"/>
          <w:szCs w:val="22"/>
        </w:rPr>
        <w:t>o</w:t>
      </w:r>
      <w:r w:rsidR="009153FB" w:rsidRPr="00227C6E">
        <w:rPr>
          <w:rFonts w:asciiTheme="minorHAnsi" w:hAnsiTheme="minorHAnsi" w:cstheme="minorHAnsi"/>
          <w:color w:val="auto"/>
          <w:sz w:val="22"/>
          <w:szCs w:val="22"/>
        </w:rPr>
        <w:t>fficer</w:t>
      </w:r>
      <w:r w:rsidR="00227C6E">
        <w:rPr>
          <w:rFonts w:asciiTheme="minorHAnsi" w:hAnsiTheme="minorHAnsi" w:cstheme="minorHAnsi"/>
          <w:color w:val="auto"/>
          <w:sz w:val="22"/>
          <w:szCs w:val="22"/>
        </w:rPr>
        <w:t xml:space="preserve">, titled </w:t>
      </w:r>
      <w:r w:rsidR="00227C6E" w:rsidRPr="00227C6E">
        <w:rPr>
          <w:rFonts w:asciiTheme="minorHAnsi" w:hAnsiTheme="minorHAnsi" w:cstheme="minorHAnsi"/>
          <w:color w:val="auto"/>
          <w:sz w:val="22"/>
          <w:szCs w:val="22"/>
        </w:rPr>
        <w:t>a</w:t>
      </w:r>
      <w:r w:rsidR="009153FB" w:rsidRPr="00227C6E">
        <w:rPr>
          <w:rFonts w:asciiTheme="minorHAnsi" w:hAnsiTheme="minorHAnsi" w:cstheme="minorHAnsi"/>
          <w:color w:val="auto"/>
          <w:sz w:val="22"/>
          <w:szCs w:val="22"/>
        </w:rPr>
        <w:t xml:space="preserve">ssociate </w:t>
      </w:r>
      <w:r w:rsidR="00227C6E" w:rsidRPr="00227C6E">
        <w:rPr>
          <w:rFonts w:asciiTheme="minorHAnsi" w:hAnsiTheme="minorHAnsi" w:cstheme="minorHAnsi"/>
          <w:color w:val="auto"/>
          <w:sz w:val="22"/>
          <w:szCs w:val="22"/>
        </w:rPr>
        <w:t>v</w:t>
      </w:r>
      <w:r w:rsidR="009153FB" w:rsidRPr="00227C6E">
        <w:rPr>
          <w:rFonts w:asciiTheme="minorHAnsi" w:hAnsiTheme="minorHAnsi" w:cstheme="minorHAnsi"/>
          <w:color w:val="auto"/>
          <w:sz w:val="22"/>
          <w:szCs w:val="22"/>
        </w:rPr>
        <w:t xml:space="preserve">ice </w:t>
      </w:r>
      <w:r w:rsidR="00227C6E" w:rsidRPr="00227C6E">
        <w:rPr>
          <w:rFonts w:asciiTheme="minorHAnsi" w:hAnsiTheme="minorHAnsi" w:cstheme="minorHAnsi"/>
          <w:color w:val="auto"/>
          <w:sz w:val="22"/>
          <w:szCs w:val="22"/>
        </w:rPr>
        <w:t>p</w:t>
      </w:r>
      <w:r w:rsidR="009153FB" w:rsidRPr="00227C6E">
        <w:rPr>
          <w:rFonts w:asciiTheme="minorHAnsi" w:hAnsiTheme="minorHAnsi" w:cstheme="minorHAnsi"/>
          <w:color w:val="auto"/>
          <w:sz w:val="22"/>
          <w:szCs w:val="22"/>
        </w:rPr>
        <w:t xml:space="preserve">resident for </w:t>
      </w:r>
      <w:r w:rsidR="00227C6E" w:rsidRPr="00227C6E">
        <w:rPr>
          <w:rFonts w:asciiTheme="minorHAnsi" w:hAnsiTheme="minorHAnsi" w:cstheme="minorHAnsi"/>
          <w:color w:val="auto"/>
          <w:sz w:val="22"/>
          <w:szCs w:val="22"/>
        </w:rPr>
        <w:t>s</w:t>
      </w:r>
      <w:r w:rsidR="00797041" w:rsidRPr="00227C6E">
        <w:rPr>
          <w:rFonts w:asciiTheme="minorHAnsi" w:hAnsiTheme="minorHAnsi" w:cstheme="minorHAnsi"/>
          <w:color w:val="auto"/>
          <w:sz w:val="22"/>
          <w:szCs w:val="22"/>
        </w:rPr>
        <w:t xml:space="preserve">trategic </w:t>
      </w:r>
      <w:r w:rsidR="00227C6E" w:rsidRPr="00227C6E">
        <w:rPr>
          <w:rFonts w:asciiTheme="minorHAnsi" w:hAnsiTheme="minorHAnsi" w:cstheme="minorHAnsi"/>
          <w:color w:val="auto"/>
          <w:sz w:val="22"/>
          <w:szCs w:val="22"/>
        </w:rPr>
        <w:t>i</w:t>
      </w:r>
      <w:r w:rsidR="00797041" w:rsidRPr="00227C6E">
        <w:rPr>
          <w:rFonts w:asciiTheme="minorHAnsi" w:hAnsiTheme="minorHAnsi" w:cstheme="minorHAnsi"/>
          <w:color w:val="auto"/>
          <w:sz w:val="22"/>
          <w:szCs w:val="22"/>
        </w:rPr>
        <w:t xml:space="preserve">nitiatives and </w:t>
      </w:r>
      <w:r w:rsidR="00227C6E" w:rsidRPr="00227C6E">
        <w:rPr>
          <w:rFonts w:asciiTheme="minorHAnsi" w:hAnsiTheme="minorHAnsi" w:cstheme="minorHAnsi"/>
          <w:color w:val="auto"/>
          <w:sz w:val="22"/>
          <w:szCs w:val="22"/>
        </w:rPr>
        <w:t>d</w:t>
      </w:r>
      <w:r w:rsidR="00797041" w:rsidRPr="00227C6E">
        <w:rPr>
          <w:rFonts w:asciiTheme="minorHAnsi" w:hAnsiTheme="minorHAnsi" w:cstheme="minorHAnsi"/>
          <w:color w:val="auto"/>
          <w:sz w:val="22"/>
          <w:szCs w:val="22"/>
        </w:rPr>
        <w:t>iversity</w:t>
      </w:r>
      <w:r w:rsidRPr="00227C6E">
        <w:rPr>
          <w:rFonts w:asciiTheme="minorHAnsi" w:hAnsiTheme="minorHAnsi" w:cstheme="minorHAnsi"/>
          <w:color w:val="auto"/>
          <w:sz w:val="22"/>
          <w:szCs w:val="22"/>
        </w:rPr>
        <w:t>.</w:t>
      </w:r>
      <w:r w:rsidR="00224F94" w:rsidRPr="00227C6E">
        <w:rPr>
          <w:rFonts w:asciiTheme="minorHAnsi" w:hAnsiTheme="minorHAnsi" w:cstheme="minorHAnsi"/>
          <w:color w:val="auto"/>
          <w:sz w:val="22"/>
          <w:szCs w:val="22"/>
        </w:rPr>
        <w:t xml:space="preserve"> </w:t>
      </w:r>
      <w:r w:rsidRPr="00227C6E">
        <w:rPr>
          <w:rFonts w:asciiTheme="minorHAnsi" w:hAnsiTheme="minorHAnsi" w:cstheme="minorHAnsi"/>
          <w:color w:val="auto"/>
          <w:sz w:val="22"/>
          <w:szCs w:val="22"/>
        </w:rPr>
        <w:t xml:space="preserve">The proposal will be shared with the campus community for review and feedback </w:t>
      </w:r>
      <w:r w:rsidR="007839B8" w:rsidRPr="00227C6E">
        <w:rPr>
          <w:rFonts w:asciiTheme="minorHAnsi" w:hAnsiTheme="minorHAnsi" w:cstheme="minorHAnsi"/>
          <w:color w:val="auto"/>
          <w:sz w:val="22"/>
          <w:szCs w:val="22"/>
        </w:rPr>
        <w:t xml:space="preserve">during the </w:t>
      </w:r>
      <w:r w:rsidR="00841753">
        <w:rPr>
          <w:rFonts w:asciiTheme="minorHAnsi" w:hAnsiTheme="minorHAnsi" w:cstheme="minorHAnsi"/>
          <w:color w:val="auto"/>
          <w:sz w:val="22"/>
          <w:szCs w:val="22"/>
        </w:rPr>
        <w:t>s</w:t>
      </w:r>
      <w:r w:rsidR="00CA0C07" w:rsidRPr="00227C6E">
        <w:rPr>
          <w:rFonts w:asciiTheme="minorHAnsi" w:hAnsiTheme="minorHAnsi" w:cstheme="minorHAnsi"/>
          <w:color w:val="auto"/>
          <w:sz w:val="22"/>
          <w:szCs w:val="22"/>
        </w:rPr>
        <w:t>pring 2021</w:t>
      </w:r>
      <w:r w:rsidR="007839B8" w:rsidRPr="00227C6E">
        <w:rPr>
          <w:rFonts w:asciiTheme="minorHAnsi" w:hAnsiTheme="minorHAnsi" w:cstheme="minorHAnsi"/>
          <w:color w:val="auto"/>
          <w:sz w:val="22"/>
          <w:szCs w:val="22"/>
        </w:rPr>
        <w:t xml:space="preserve"> semester, with the aim of finalizing </w:t>
      </w:r>
      <w:r w:rsidR="007839B8" w:rsidRPr="00227C6E">
        <w:rPr>
          <w:rFonts w:asciiTheme="minorHAnsi" w:hAnsiTheme="minorHAnsi" w:cstheme="minorHAnsi"/>
          <w:color w:val="auto"/>
          <w:sz w:val="22"/>
          <w:szCs w:val="22"/>
        </w:rPr>
        <w:lastRenderedPageBreak/>
        <w:t xml:space="preserve">the plan </w:t>
      </w:r>
      <w:r w:rsidR="00B20A42" w:rsidRPr="00227C6E">
        <w:rPr>
          <w:rFonts w:asciiTheme="minorHAnsi" w:hAnsiTheme="minorHAnsi" w:cstheme="minorHAnsi"/>
          <w:color w:val="auto"/>
          <w:sz w:val="22"/>
          <w:szCs w:val="22"/>
        </w:rPr>
        <w:t xml:space="preserve">by </w:t>
      </w:r>
      <w:r w:rsidR="00841753">
        <w:rPr>
          <w:rFonts w:asciiTheme="minorHAnsi" w:hAnsiTheme="minorHAnsi" w:cstheme="minorHAnsi"/>
          <w:color w:val="auto"/>
          <w:sz w:val="22"/>
          <w:szCs w:val="22"/>
        </w:rPr>
        <w:t>fall</w:t>
      </w:r>
      <w:r w:rsidR="00CA0C07" w:rsidRPr="00227C6E">
        <w:rPr>
          <w:rFonts w:asciiTheme="minorHAnsi" w:hAnsiTheme="minorHAnsi" w:cstheme="minorHAnsi"/>
          <w:color w:val="auto"/>
          <w:sz w:val="22"/>
          <w:szCs w:val="22"/>
        </w:rPr>
        <w:t xml:space="preserve"> 2021</w:t>
      </w:r>
      <w:r w:rsidR="007839B8" w:rsidRPr="00227C6E">
        <w:rPr>
          <w:rFonts w:asciiTheme="minorHAnsi" w:hAnsiTheme="minorHAnsi" w:cstheme="minorHAnsi"/>
          <w:color w:val="auto"/>
          <w:sz w:val="22"/>
          <w:szCs w:val="22"/>
        </w:rPr>
        <w:t>.</w:t>
      </w:r>
      <w:r w:rsidR="00224F94" w:rsidRPr="00227C6E">
        <w:rPr>
          <w:rFonts w:asciiTheme="minorHAnsi" w:hAnsiTheme="minorHAnsi" w:cstheme="minorHAnsi"/>
          <w:color w:val="auto"/>
          <w:sz w:val="22"/>
          <w:szCs w:val="22"/>
        </w:rPr>
        <w:t xml:space="preserve"> </w:t>
      </w:r>
      <w:r w:rsidR="00FA5927" w:rsidRPr="00227C6E">
        <w:rPr>
          <w:rFonts w:asciiTheme="minorHAnsi" w:hAnsiTheme="minorHAnsi" w:cstheme="minorHAnsi"/>
          <w:color w:val="auto"/>
          <w:sz w:val="22"/>
          <w:szCs w:val="22"/>
        </w:rPr>
        <w:t>SSU will continue to honor the innovative culture that has shaped the current abundance of diversity initiatives on campus.</w:t>
      </w:r>
    </w:p>
    <w:p w14:paraId="34D6B1F8" w14:textId="77777777" w:rsidR="00806E6E" w:rsidRPr="00227C6E" w:rsidRDefault="007839B8" w:rsidP="00D33AC9">
      <w:pPr>
        <w:pStyle w:val="Default"/>
        <w:spacing w:line="480" w:lineRule="auto"/>
        <w:rPr>
          <w:rFonts w:asciiTheme="minorHAnsi" w:hAnsiTheme="minorHAnsi" w:cstheme="minorHAnsi"/>
          <w:sz w:val="22"/>
          <w:szCs w:val="22"/>
        </w:rPr>
      </w:pPr>
      <w:r w:rsidRPr="00DB319B">
        <w:rPr>
          <w:rStyle w:val="Heading2Char"/>
        </w:rPr>
        <w:t>Recommendation #7:</w:t>
      </w:r>
      <w:r w:rsidRPr="00227C6E">
        <w:rPr>
          <w:rFonts w:asciiTheme="minorHAnsi" w:hAnsiTheme="minorHAnsi" w:cstheme="minorHAnsi"/>
          <w:b/>
          <w:sz w:val="22"/>
          <w:szCs w:val="22"/>
        </w:rPr>
        <w:t xml:space="preserve"> </w:t>
      </w:r>
      <w:r w:rsidR="00806E6E" w:rsidRPr="00227C6E">
        <w:rPr>
          <w:rFonts w:asciiTheme="minorHAnsi" w:hAnsiTheme="minorHAnsi" w:cstheme="minorHAnsi"/>
          <w:sz w:val="22"/>
          <w:szCs w:val="22"/>
        </w:rPr>
        <w:t xml:space="preserve">Formally articulating what it means to be </w:t>
      </w:r>
      <w:proofErr w:type="gramStart"/>
      <w:r w:rsidR="00806E6E" w:rsidRPr="00227C6E">
        <w:rPr>
          <w:rFonts w:asciiTheme="minorHAnsi" w:hAnsiTheme="minorHAnsi" w:cstheme="minorHAnsi"/>
          <w:sz w:val="22"/>
          <w:szCs w:val="22"/>
        </w:rPr>
        <w:t>a</w:t>
      </w:r>
      <w:proofErr w:type="gramEnd"/>
      <w:r w:rsidR="00806E6E" w:rsidRPr="00227C6E">
        <w:rPr>
          <w:rFonts w:asciiTheme="minorHAnsi" w:hAnsiTheme="minorHAnsi" w:cstheme="minorHAnsi"/>
          <w:sz w:val="22"/>
          <w:szCs w:val="22"/>
        </w:rPr>
        <w:t xml:space="preserve"> SSU undergraduate or graduate student. (CFRs 1.2 and 2.2-2.4) </w:t>
      </w:r>
    </w:p>
    <w:p w14:paraId="71EF8D52" w14:textId="06E775B4" w:rsidR="00806E6E" w:rsidRDefault="007839B8" w:rsidP="00227C6E">
      <w:pPr>
        <w:pStyle w:val="Default"/>
        <w:spacing w:line="480" w:lineRule="auto"/>
        <w:ind w:left="720"/>
        <w:rPr>
          <w:rFonts w:asciiTheme="minorHAnsi" w:hAnsiTheme="minorHAnsi" w:cstheme="minorHAnsi"/>
          <w:sz w:val="22"/>
          <w:szCs w:val="22"/>
        </w:rPr>
      </w:pPr>
      <w:r w:rsidRPr="001746A9">
        <w:rPr>
          <w:rStyle w:val="Strong"/>
        </w:rPr>
        <w:t>Current Status:</w:t>
      </w:r>
      <w:r w:rsidR="00224F94" w:rsidRPr="00227C6E">
        <w:rPr>
          <w:rFonts w:asciiTheme="minorHAnsi" w:hAnsiTheme="minorHAnsi" w:cstheme="minorHAnsi"/>
          <w:sz w:val="22"/>
          <w:szCs w:val="22"/>
        </w:rPr>
        <w:t xml:space="preserve"> </w:t>
      </w:r>
      <w:r w:rsidR="0092666E" w:rsidRPr="00227C6E">
        <w:rPr>
          <w:rFonts w:asciiTheme="minorHAnsi" w:hAnsiTheme="minorHAnsi" w:cstheme="minorHAnsi"/>
          <w:sz w:val="22"/>
          <w:szCs w:val="22"/>
        </w:rPr>
        <w:t xml:space="preserve">Since </w:t>
      </w:r>
      <w:r w:rsidR="00F61959" w:rsidRPr="00227C6E">
        <w:rPr>
          <w:rFonts w:asciiTheme="minorHAnsi" w:hAnsiTheme="minorHAnsi" w:cstheme="minorHAnsi"/>
          <w:sz w:val="22"/>
          <w:szCs w:val="22"/>
        </w:rPr>
        <w:t>WSCUC</w:t>
      </w:r>
      <w:r w:rsidR="0092666E" w:rsidRPr="00227C6E">
        <w:rPr>
          <w:rFonts w:asciiTheme="minorHAnsi" w:hAnsiTheme="minorHAnsi" w:cstheme="minorHAnsi"/>
          <w:sz w:val="22"/>
          <w:szCs w:val="22"/>
        </w:rPr>
        <w:t xml:space="preserve">’s 2017 visit, </w:t>
      </w:r>
      <w:r w:rsidR="00DB2390">
        <w:rPr>
          <w:rFonts w:asciiTheme="minorHAnsi" w:hAnsiTheme="minorHAnsi" w:cstheme="minorHAnsi"/>
          <w:sz w:val="22"/>
          <w:szCs w:val="22"/>
        </w:rPr>
        <w:t>SSU</w:t>
      </w:r>
      <w:r w:rsidR="0092666E" w:rsidRPr="00227C6E">
        <w:rPr>
          <w:rFonts w:asciiTheme="minorHAnsi" w:hAnsiTheme="minorHAnsi" w:cstheme="minorHAnsi"/>
          <w:sz w:val="22"/>
          <w:szCs w:val="22"/>
        </w:rPr>
        <w:t xml:space="preserve"> has gained a sharper focus on what it means to be a student</w:t>
      </w:r>
      <w:r w:rsidR="00DB2390">
        <w:rPr>
          <w:rFonts w:asciiTheme="minorHAnsi" w:hAnsiTheme="minorHAnsi" w:cstheme="minorHAnsi"/>
          <w:sz w:val="22"/>
          <w:szCs w:val="22"/>
        </w:rPr>
        <w:t xml:space="preserve"> at the institution</w:t>
      </w:r>
      <w:r w:rsidR="0092666E" w:rsidRPr="00227C6E">
        <w:rPr>
          <w:rFonts w:asciiTheme="minorHAnsi" w:hAnsiTheme="minorHAnsi" w:cstheme="minorHAnsi"/>
          <w:sz w:val="22"/>
          <w:szCs w:val="22"/>
        </w:rPr>
        <w:t>.</w:t>
      </w:r>
      <w:r w:rsidR="004A1AF2" w:rsidRPr="00227C6E">
        <w:rPr>
          <w:rFonts w:asciiTheme="minorHAnsi" w:hAnsiTheme="minorHAnsi" w:cstheme="minorHAnsi"/>
          <w:sz w:val="22"/>
          <w:szCs w:val="22"/>
        </w:rPr>
        <w:t xml:space="preserve"> </w:t>
      </w:r>
      <w:r w:rsidR="0092666E" w:rsidRPr="00227C6E">
        <w:rPr>
          <w:rFonts w:asciiTheme="minorHAnsi" w:hAnsiTheme="minorHAnsi" w:cstheme="minorHAnsi"/>
          <w:sz w:val="22"/>
          <w:szCs w:val="22"/>
        </w:rPr>
        <w:t>The campus has engaged in large-scale conversations and structural changes that demonstrate the convergence of thinking that has occurred around the distinguishing features of the undergraduate and graduate student experience.</w:t>
      </w:r>
      <w:r w:rsidR="00224F94" w:rsidRPr="00227C6E">
        <w:rPr>
          <w:rFonts w:asciiTheme="minorHAnsi" w:hAnsiTheme="minorHAnsi" w:cstheme="minorHAnsi"/>
          <w:sz w:val="22"/>
          <w:szCs w:val="22"/>
        </w:rPr>
        <w:t xml:space="preserve"> </w:t>
      </w:r>
      <w:r w:rsidR="0092666E" w:rsidRPr="00227C6E">
        <w:rPr>
          <w:rFonts w:asciiTheme="minorHAnsi" w:hAnsiTheme="minorHAnsi" w:cstheme="minorHAnsi"/>
          <w:sz w:val="22"/>
          <w:szCs w:val="22"/>
        </w:rPr>
        <w:t>Within a liberal arts grounding, an SSU student is one who earns a meaningful degree reinforced by experiential learning, interdisciplinary connections, and outward engagement in a community committed to helping them succeed.</w:t>
      </w:r>
      <w:r w:rsidR="00224F94" w:rsidRPr="00227C6E">
        <w:rPr>
          <w:rFonts w:asciiTheme="minorHAnsi" w:hAnsiTheme="minorHAnsi" w:cstheme="minorHAnsi"/>
          <w:sz w:val="22"/>
          <w:szCs w:val="22"/>
        </w:rPr>
        <w:t xml:space="preserve"> </w:t>
      </w:r>
    </w:p>
    <w:p w14:paraId="789B2A44" w14:textId="77777777" w:rsidR="00DB319B" w:rsidRPr="00227C6E" w:rsidRDefault="00DB319B" w:rsidP="00227C6E">
      <w:pPr>
        <w:pStyle w:val="Default"/>
        <w:spacing w:line="480" w:lineRule="auto"/>
        <w:ind w:left="720"/>
        <w:rPr>
          <w:rFonts w:asciiTheme="minorHAnsi" w:hAnsiTheme="minorHAnsi" w:cstheme="minorHAnsi"/>
        </w:rPr>
      </w:pPr>
    </w:p>
    <w:p w14:paraId="0E0D701D" w14:textId="79F69B93" w:rsidR="00806E6E" w:rsidRPr="00227C6E" w:rsidRDefault="00806E6E" w:rsidP="00611188">
      <w:pPr>
        <w:spacing w:line="480" w:lineRule="auto"/>
        <w:rPr>
          <w:rFonts w:cstheme="minorHAnsi"/>
        </w:rPr>
      </w:pPr>
      <w:r w:rsidRPr="00227C6E">
        <w:rPr>
          <w:rFonts w:cstheme="minorHAnsi"/>
        </w:rPr>
        <w:t>In the f</w:t>
      </w:r>
      <w:r w:rsidR="00DB319B">
        <w:rPr>
          <w:rFonts w:cstheme="minorHAnsi"/>
        </w:rPr>
        <w:t>o</w:t>
      </w:r>
      <w:r w:rsidRPr="00227C6E">
        <w:rPr>
          <w:rFonts w:cstheme="minorHAnsi"/>
        </w:rPr>
        <w:t xml:space="preserve">llowing pages, </w:t>
      </w:r>
      <w:r w:rsidR="00E567EA" w:rsidRPr="00227C6E">
        <w:rPr>
          <w:rFonts w:cstheme="minorHAnsi"/>
        </w:rPr>
        <w:t>this report</w:t>
      </w:r>
      <w:r w:rsidRPr="00227C6E">
        <w:rPr>
          <w:rFonts w:cstheme="minorHAnsi"/>
        </w:rPr>
        <w:t xml:space="preserve"> will respond to each recommendation in turn</w:t>
      </w:r>
      <w:r w:rsidR="00D33AC9" w:rsidRPr="00227C6E">
        <w:rPr>
          <w:rFonts w:cstheme="minorHAnsi"/>
        </w:rPr>
        <w:t>,</w:t>
      </w:r>
      <w:r w:rsidR="00D43E7A" w:rsidRPr="00227C6E">
        <w:rPr>
          <w:rFonts w:cstheme="minorHAnsi"/>
        </w:rPr>
        <w:t xml:space="preserve"> with evidence </w:t>
      </w:r>
      <w:r w:rsidRPr="00227C6E">
        <w:rPr>
          <w:rFonts w:cstheme="minorHAnsi"/>
        </w:rPr>
        <w:t xml:space="preserve">supporting </w:t>
      </w:r>
      <w:r w:rsidR="00E567EA" w:rsidRPr="00227C6E">
        <w:rPr>
          <w:rFonts w:cstheme="minorHAnsi"/>
        </w:rPr>
        <w:t>SSU’s</w:t>
      </w:r>
      <w:r w:rsidRPr="00227C6E">
        <w:rPr>
          <w:rFonts w:cstheme="minorHAnsi"/>
        </w:rPr>
        <w:t xml:space="preserve"> progress as well as ongoing continuous improvement efforts.</w:t>
      </w:r>
      <w:r w:rsidR="00224F94" w:rsidRPr="00227C6E">
        <w:rPr>
          <w:rFonts w:cstheme="minorHAnsi"/>
        </w:rPr>
        <w:t xml:space="preserve"> </w:t>
      </w:r>
    </w:p>
    <w:p w14:paraId="46E32807" w14:textId="13836AF0" w:rsidR="00224F94" w:rsidRDefault="00224F94">
      <w:r>
        <w:br w:type="page"/>
      </w:r>
    </w:p>
    <w:p w14:paraId="24FB8ADA" w14:textId="674DD22F" w:rsidR="00224F94" w:rsidRPr="00FF6EE9" w:rsidRDefault="00224F94" w:rsidP="00DB319B">
      <w:pPr>
        <w:pStyle w:val="Heading1"/>
        <w:jc w:val="center"/>
      </w:pPr>
      <w:r w:rsidRPr="00FF6EE9">
        <w:lastRenderedPageBreak/>
        <w:t>SSU’s Follow-up Response to Recommendation #1</w:t>
      </w:r>
    </w:p>
    <w:p w14:paraId="610A8A2F" w14:textId="77777777" w:rsidR="00224F94" w:rsidRPr="00DB319B" w:rsidRDefault="00224F94" w:rsidP="00FF6EE9">
      <w:pPr>
        <w:spacing w:after="0"/>
        <w:ind w:left="1440" w:right="1440"/>
        <w:jc w:val="center"/>
        <w:rPr>
          <w:rStyle w:val="Emphasis"/>
        </w:rPr>
      </w:pPr>
      <w:r w:rsidRPr="00DB319B">
        <w:rPr>
          <w:rStyle w:val="Emphasis"/>
        </w:rPr>
        <w:t xml:space="preserve">[Assuring every degree program has measurable learning outcomes and an assessment plan that identifies where the outcomes are being assessed in the curriculum. (CFR 2.4)] </w:t>
      </w:r>
    </w:p>
    <w:p w14:paraId="6C6427BB" w14:textId="77777777" w:rsidR="00224F94" w:rsidRDefault="00224F94" w:rsidP="00224F94"/>
    <w:p w14:paraId="659FD09E" w14:textId="43FC5282" w:rsidR="00DB319B" w:rsidRPr="00DB319B" w:rsidRDefault="00224F94" w:rsidP="00570207">
      <w:pPr>
        <w:pStyle w:val="Heading2"/>
      </w:pPr>
      <w:r>
        <w:t>Measurable Learning Outcomes for All Degree Programs</w:t>
      </w:r>
      <w:r w:rsidR="00570207">
        <w:br/>
      </w:r>
    </w:p>
    <w:p w14:paraId="098627C9" w14:textId="0CF75345" w:rsidR="00935009" w:rsidRDefault="00224F94" w:rsidP="00224F94">
      <w:pPr>
        <w:spacing w:line="480" w:lineRule="auto"/>
        <w:ind w:firstLine="720"/>
      </w:pPr>
      <w:r>
        <w:t>Sonoma State University’s degree programs have benefitted from the program review policy revision that was accomplished in 2016-17.</w:t>
      </w:r>
      <w:r w:rsidR="004A1AF2">
        <w:t xml:space="preserve"> </w:t>
      </w:r>
      <w:r>
        <w:t xml:space="preserve">The revised process includes </w:t>
      </w:r>
      <w:sdt>
        <w:sdtPr>
          <w:tag w:val="goog_rdk_0"/>
          <w:id w:val="1137757644"/>
        </w:sdtPr>
        <w:sdtContent/>
      </w:sdt>
      <w:sdt>
        <w:sdtPr>
          <w:tag w:val="goog_rdk_1"/>
          <w:id w:val="-2099714292"/>
        </w:sdtPr>
        <w:sdtContent/>
      </w:sdt>
      <w:r>
        <w:t>formal training and ongoing support for departments as well as clarification of stakeholder responsibilities and feedback processes. This revision has provided more assistance and feedback for programs with scheduled reviews, and particularly offers more guidance on the development of program learning objectives (PLOs) and assessment plans</w:t>
      </w:r>
      <w:r w:rsidR="00E8516C">
        <w:t xml:space="preserve"> (</w:t>
      </w:r>
      <w:r w:rsidR="002C5DBF">
        <w:t>s</w:t>
      </w:r>
      <w:r w:rsidR="00E8516C" w:rsidRPr="00227C6E">
        <w:t xml:space="preserve">ee </w:t>
      </w:r>
      <w:r w:rsidR="00DB2390" w:rsidRPr="00A87F72">
        <w:t>appendix</w:t>
      </w:r>
      <w:r w:rsidR="009402E9" w:rsidRPr="00A87F72">
        <w:t xml:space="preserve"> 1</w:t>
      </w:r>
      <w:r w:rsidR="00E8516C" w:rsidRPr="00227C6E">
        <w:t xml:space="preserve"> for a link to training materials)</w:t>
      </w:r>
      <w:r w:rsidRPr="00227C6E">
        <w:t xml:space="preserve">. In addition, in September 2017, the </w:t>
      </w:r>
      <w:r w:rsidR="002C5DBF">
        <w:t>a</w:t>
      </w:r>
      <w:r w:rsidR="002C5DBF" w:rsidRPr="00227C6E">
        <w:t xml:space="preserve">cademic </w:t>
      </w:r>
      <w:r w:rsidR="002C5DBF">
        <w:t>a</w:t>
      </w:r>
      <w:r w:rsidR="002C5DBF" w:rsidRPr="00227C6E">
        <w:t xml:space="preserve">ffairs </w:t>
      </w:r>
      <w:r w:rsidRPr="00227C6E">
        <w:t xml:space="preserve">division hired a full-time assessment and accreditation </w:t>
      </w:r>
      <w:r w:rsidR="00CA0C07" w:rsidRPr="00227C6E">
        <w:t xml:space="preserve">coordinator </w:t>
      </w:r>
      <w:r w:rsidRPr="00227C6E">
        <w:t xml:space="preserve">to assist department faculty with the many facets of program review and evaluation. In </w:t>
      </w:r>
      <w:r w:rsidR="00390AEB">
        <w:t>s</w:t>
      </w:r>
      <w:r w:rsidRPr="00227C6E">
        <w:t xml:space="preserve">pring 2019, the </w:t>
      </w:r>
      <w:r w:rsidR="002C5DBF">
        <w:t>s</w:t>
      </w:r>
      <w:r w:rsidR="002C5DBF" w:rsidRPr="00227C6E">
        <w:t>elf</w:t>
      </w:r>
      <w:r w:rsidRPr="00227C6E">
        <w:t>-</w:t>
      </w:r>
      <w:r w:rsidR="002C5DBF">
        <w:t>s</w:t>
      </w:r>
      <w:r w:rsidR="002C5DBF" w:rsidRPr="00227C6E">
        <w:t xml:space="preserve">tudy </w:t>
      </w:r>
      <w:r w:rsidR="002C5DBF">
        <w:t>g</w:t>
      </w:r>
      <w:r w:rsidR="002C5DBF" w:rsidRPr="00227C6E">
        <w:t xml:space="preserve">uide </w:t>
      </w:r>
      <w:r w:rsidRPr="00227C6E">
        <w:t xml:space="preserve">was revised to provide </w:t>
      </w:r>
      <w:sdt>
        <w:sdtPr>
          <w:tag w:val="goog_rdk_6"/>
          <w:id w:val="-1126704693"/>
        </w:sdtPr>
        <w:sdtContent>
          <w:r w:rsidRPr="00227C6E">
            <w:t xml:space="preserve">clearer </w:t>
          </w:r>
        </w:sdtContent>
      </w:sdt>
      <w:r w:rsidRPr="00227C6E">
        <w:t>guidance to programs about the central points of inquiry and evidence needed for effective program review</w:t>
      </w:r>
      <w:r w:rsidR="00E8516C" w:rsidRPr="00227C6E">
        <w:t xml:space="preserve"> (</w:t>
      </w:r>
      <w:r w:rsidR="002C5DBF">
        <w:t>s</w:t>
      </w:r>
      <w:r w:rsidR="002C5DBF" w:rsidRPr="00227C6E">
        <w:t xml:space="preserve">ee </w:t>
      </w:r>
      <w:r w:rsidR="00DB2390" w:rsidRPr="00A87F72">
        <w:t>appendix</w:t>
      </w:r>
      <w:r w:rsidR="00E8516C" w:rsidRPr="00A87F72">
        <w:t xml:space="preserve"> 1</w:t>
      </w:r>
      <w:r w:rsidR="00E8516C" w:rsidRPr="00227C6E">
        <w:t xml:space="preserve"> for</w:t>
      </w:r>
      <w:r w:rsidR="00E8516C">
        <w:t xml:space="preserve"> a link to the current </w:t>
      </w:r>
      <w:r w:rsidR="002C5DBF">
        <w:t>guide</w:t>
      </w:r>
      <w:r w:rsidR="00E8516C">
        <w:t>)</w:t>
      </w:r>
      <w:r>
        <w:t xml:space="preserve">. The guide was designed to provide structure and to give faculty a framework for inquiry, while also </w:t>
      </w:r>
      <w:r w:rsidR="00935009">
        <w:t xml:space="preserve">affording some flexibility </w:t>
      </w:r>
      <w:r>
        <w:t>for the unique aspects of particular program</w:t>
      </w:r>
      <w:r w:rsidR="00CA0C07">
        <w:t>s</w:t>
      </w:r>
      <w:r>
        <w:t xml:space="preserve">. The guide addresses six significant areas of inquiry: program context and curriculum, assessment, faculty, program resources, student population, and a proposed plan of action, and it offers prompts and questions intended to assist faculty in their assessment of their program. </w:t>
      </w:r>
      <w:r>
        <w:rPr>
          <w:highlight w:val="white"/>
        </w:rPr>
        <w:t xml:space="preserve">The assessment of students’ demonstration of learning on the PLOs and the subsequent program revisions made as a result of the assessment are fundamental to the self-study process. </w:t>
      </w:r>
      <w:r>
        <w:t xml:space="preserve">Finally, </w:t>
      </w:r>
      <w:r w:rsidR="00935009">
        <w:t xml:space="preserve">shared governance has reinforced the importance of assessment of student learning through the curriculum revision process. </w:t>
      </w:r>
      <w:r>
        <w:t xml:space="preserve"> </w:t>
      </w:r>
      <w:r w:rsidR="00935009">
        <w:t>D</w:t>
      </w:r>
      <w:r>
        <w:t>ocumentation for curriculum revision requires programs to clearly state their PLOs and assessment approaches</w:t>
      </w:r>
      <w:r w:rsidR="00935009">
        <w:t xml:space="preserve"> as part of the approval process</w:t>
      </w:r>
      <w:r>
        <w:t xml:space="preserve">. </w:t>
      </w:r>
    </w:p>
    <w:tbl>
      <w:tblPr>
        <w:tblpPr w:leftFromText="180" w:rightFromText="180" w:vertAnchor="text" w:horzAnchor="page" w:tblpX="6641" w:tblpY="-360"/>
        <w:tblW w:w="4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egree Programs by School"/>
        <w:tblDescription w:val="A table listing SSUs programs by school and the number of program learning outcomes (PLOs) each program has."/>
      </w:tblPr>
      <w:tblGrid>
        <w:gridCol w:w="2965"/>
        <w:gridCol w:w="1718"/>
      </w:tblGrid>
      <w:tr w:rsidR="00935009" w14:paraId="68F2AA0E" w14:textId="77777777" w:rsidTr="00227C6E">
        <w:trPr>
          <w:trHeight w:val="620"/>
        </w:trPr>
        <w:tc>
          <w:tcPr>
            <w:tcW w:w="2965" w:type="dxa"/>
            <w:vAlign w:val="center"/>
          </w:tcPr>
          <w:p w14:paraId="7AB0F9BF" w14:textId="77777777" w:rsidR="00935009" w:rsidRDefault="00935009" w:rsidP="00935009">
            <w:pPr>
              <w:spacing w:after="0"/>
              <w:rPr>
                <w:b/>
                <w:sz w:val="20"/>
                <w:szCs w:val="20"/>
              </w:rPr>
            </w:pPr>
            <w:r>
              <w:rPr>
                <w:b/>
                <w:sz w:val="20"/>
                <w:szCs w:val="20"/>
              </w:rPr>
              <w:lastRenderedPageBreak/>
              <w:t xml:space="preserve">Degree Programs </w:t>
            </w:r>
            <w:proofErr w:type="gramStart"/>
            <w:r>
              <w:rPr>
                <w:b/>
                <w:sz w:val="20"/>
                <w:szCs w:val="20"/>
              </w:rPr>
              <w:t>By</w:t>
            </w:r>
            <w:proofErr w:type="gramEnd"/>
            <w:r>
              <w:rPr>
                <w:b/>
                <w:sz w:val="20"/>
                <w:szCs w:val="20"/>
              </w:rPr>
              <w:t xml:space="preserve"> School</w:t>
            </w:r>
          </w:p>
        </w:tc>
        <w:tc>
          <w:tcPr>
            <w:tcW w:w="1718" w:type="dxa"/>
            <w:vAlign w:val="center"/>
          </w:tcPr>
          <w:p w14:paraId="726A0946" w14:textId="77777777" w:rsidR="00935009" w:rsidRDefault="00935009" w:rsidP="00935009">
            <w:pPr>
              <w:spacing w:after="0"/>
              <w:jc w:val="center"/>
              <w:rPr>
                <w:b/>
                <w:sz w:val="20"/>
                <w:szCs w:val="20"/>
              </w:rPr>
            </w:pPr>
            <w:r>
              <w:rPr>
                <w:b/>
                <w:sz w:val="20"/>
                <w:szCs w:val="20"/>
              </w:rPr>
              <w:t>PLOs</w:t>
            </w:r>
          </w:p>
        </w:tc>
      </w:tr>
      <w:tr w:rsidR="00935009" w14:paraId="0CCA2BCE" w14:textId="77777777" w:rsidTr="00227C6E">
        <w:trPr>
          <w:trHeight w:val="258"/>
        </w:trPr>
        <w:tc>
          <w:tcPr>
            <w:tcW w:w="4683" w:type="dxa"/>
            <w:gridSpan w:val="2"/>
            <w:shd w:val="clear" w:color="auto" w:fill="BFBFBF"/>
            <w:vAlign w:val="center"/>
          </w:tcPr>
          <w:p w14:paraId="4072BD04" w14:textId="77777777" w:rsidR="00935009" w:rsidRDefault="00935009" w:rsidP="00935009">
            <w:pPr>
              <w:spacing w:after="0"/>
              <w:rPr>
                <w:sz w:val="12"/>
                <w:szCs w:val="12"/>
              </w:rPr>
            </w:pPr>
            <w:r>
              <w:rPr>
                <w:b/>
                <w:sz w:val="12"/>
                <w:szCs w:val="12"/>
              </w:rPr>
              <w:t>School of Arts &amp; Humanities</w:t>
            </w:r>
          </w:p>
        </w:tc>
      </w:tr>
      <w:tr w:rsidR="00935009" w14:paraId="7CC03B09" w14:textId="77777777" w:rsidTr="00227C6E">
        <w:trPr>
          <w:trHeight w:val="175"/>
        </w:trPr>
        <w:tc>
          <w:tcPr>
            <w:tcW w:w="2965" w:type="dxa"/>
            <w:shd w:val="clear" w:color="auto" w:fill="auto"/>
          </w:tcPr>
          <w:p w14:paraId="42FF4026" w14:textId="77777777" w:rsidR="00935009" w:rsidRDefault="00935009" w:rsidP="00935009">
            <w:pPr>
              <w:spacing w:after="0"/>
              <w:rPr>
                <w:sz w:val="12"/>
                <w:szCs w:val="12"/>
              </w:rPr>
            </w:pPr>
            <w:r>
              <w:rPr>
                <w:sz w:val="12"/>
                <w:szCs w:val="12"/>
              </w:rPr>
              <w:t>American Multicultural Studies, BA</w:t>
            </w:r>
          </w:p>
        </w:tc>
        <w:tc>
          <w:tcPr>
            <w:tcW w:w="1718" w:type="dxa"/>
            <w:shd w:val="clear" w:color="auto" w:fill="auto"/>
          </w:tcPr>
          <w:p w14:paraId="554CC220" w14:textId="77777777" w:rsidR="00935009" w:rsidRDefault="00935009" w:rsidP="00935009">
            <w:pPr>
              <w:spacing w:after="0"/>
              <w:jc w:val="center"/>
              <w:rPr>
                <w:sz w:val="12"/>
                <w:szCs w:val="12"/>
              </w:rPr>
            </w:pPr>
            <w:r>
              <w:rPr>
                <w:sz w:val="12"/>
                <w:szCs w:val="12"/>
              </w:rPr>
              <w:t>13</w:t>
            </w:r>
          </w:p>
        </w:tc>
      </w:tr>
      <w:tr w:rsidR="00935009" w14:paraId="1F50DB5C" w14:textId="77777777" w:rsidTr="00227C6E">
        <w:trPr>
          <w:trHeight w:val="180"/>
        </w:trPr>
        <w:tc>
          <w:tcPr>
            <w:tcW w:w="2965" w:type="dxa"/>
            <w:shd w:val="clear" w:color="auto" w:fill="auto"/>
          </w:tcPr>
          <w:p w14:paraId="75A5BA4F" w14:textId="77777777" w:rsidR="00935009" w:rsidRDefault="00935009" w:rsidP="00935009">
            <w:pPr>
              <w:spacing w:after="0"/>
              <w:rPr>
                <w:sz w:val="12"/>
                <w:szCs w:val="12"/>
              </w:rPr>
            </w:pPr>
            <w:r>
              <w:rPr>
                <w:sz w:val="12"/>
                <w:szCs w:val="12"/>
              </w:rPr>
              <w:t>Art History, BA</w:t>
            </w:r>
          </w:p>
        </w:tc>
        <w:tc>
          <w:tcPr>
            <w:tcW w:w="1718" w:type="dxa"/>
            <w:shd w:val="clear" w:color="auto" w:fill="auto"/>
          </w:tcPr>
          <w:p w14:paraId="71E95438" w14:textId="77777777" w:rsidR="00935009" w:rsidRDefault="00935009" w:rsidP="00935009">
            <w:pPr>
              <w:spacing w:after="0"/>
              <w:jc w:val="center"/>
              <w:rPr>
                <w:sz w:val="12"/>
                <w:szCs w:val="12"/>
              </w:rPr>
            </w:pPr>
            <w:r>
              <w:rPr>
                <w:sz w:val="12"/>
                <w:szCs w:val="12"/>
              </w:rPr>
              <w:t>8</w:t>
            </w:r>
          </w:p>
        </w:tc>
      </w:tr>
      <w:tr w:rsidR="00935009" w14:paraId="0DA26CB1" w14:textId="77777777" w:rsidTr="00227C6E">
        <w:trPr>
          <w:trHeight w:val="175"/>
        </w:trPr>
        <w:tc>
          <w:tcPr>
            <w:tcW w:w="2965" w:type="dxa"/>
            <w:shd w:val="clear" w:color="auto" w:fill="auto"/>
          </w:tcPr>
          <w:p w14:paraId="7BFC2B5D" w14:textId="77777777" w:rsidR="00935009" w:rsidRDefault="00935009" w:rsidP="00935009">
            <w:pPr>
              <w:spacing w:after="0"/>
              <w:rPr>
                <w:sz w:val="12"/>
                <w:szCs w:val="12"/>
              </w:rPr>
            </w:pPr>
            <w:r>
              <w:rPr>
                <w:sz w:val="12"/>
                <w:szCs w:val="12"/>
              </w:rPr>
              <w:t xml:space="preserve">Art, Studio Concentration, BA </w:t>
            </w:r>
          </w:p>
        </w:tc>
        <w:tc>
          <w:tcPr>
            <w:tcW w:w="1718" w:type="dxa"/>
            <w:shd w:val="clear" w:color="auto" w:fill="auto"/>
          </w:tcPr>
          <w:p w14:paraId="141891EA" w14:textId="77777777" w:rsidR="00935009" w:rsidRDefault="00935009" w:rsidP="00935009">
            <w:pPr>
              <w:spacing w:after="0"/>
              <w:jc w:val="center"/>
              <w:rPr>
                <w:sz w:val="12"/>
                <w:szCs w:val="12"/>
              </w:rPr>
            </w:pPr>
            <w:r>
              <w:rPr>
                <w:sz w:val="12"/>
                <w:szCs w:val="12"/>
              </w:rPr>
              <w:t>9</w:t>
            </w:r>
          </w:p>
        </w:tc>
      </w:tr>
      <w:tr w:rsidR="00935009" w14:paraId="0922460C" w14:textId="77777777" w:rsidTr="00227C6E">
        <w:trPr>
          <w:trHeight w:val="142"/>
        </w:trPr>
        <w:tc>
          <w:tcPr>
            <w:tcW w:w="2965" w:type="dxa"/>
            <w:shd w:val="clear" w:color="auto" w:fill="auto"/>
          </w:tcPr>
          <w:p w14:paraId="2B307BFF" w14:textId="77777777" w:rsidR="00935009" w:rsidRDefault="00935009" w:rsidP="00935009">
            <w:pPr>
              <w:spacing w:after="0"/>
              <w:rPr>
                <w:sz w:val="12"/>
                <w:szCs w:val="12"/>
              </w:rPr>
            </w:pPr>
            <w:r>
              <w:rPr>
                <w:sz w:val="12"/>
                <w:szCs w:val="12"/>
              </w:rPr>
              <w:t>Studio Concentration, BFA</w:t>
            </w:r>
          </w:p>
        </w:tc>
        <w:tc>
          <w:tcPr>
            <w:tcW w:w="1718" w:type="dxa"/>
            <w:shd w:val="clear" w:color="auto" w:fill="auto"/>
          </w:tcPr>
          <w:p w14:paraId="7E11BA3A" w14:textId="77777777" w:rsidR="00935009" w:rsidRDefault="00935009" w:rsidP="00935009">
            <w:pPr>
              <w:spacing w:after="0"/>
              <w:jc w:val="center"/>
              <w:rPr>
                <w:sz w:val="12"/>
                <w:szCs w:val="12"/>
              </w:rPr>
            </w:pPr>
            <w:r>
              <w:rPr>
                <w:sz w:val="12"/>
                <w:szCs w:val="12"/>
              </w:rPr>
              <w:t>12</w:t>
            </w:r>
          </w:p>
        </w:tc>
      </w:tr>
      <w:tr w:rsidR="00935009" w14:paraId="7D20D378" w14:textId="77777777" w:rsidTr="00227C6E">
        <w:trPr>
          <w:trHeight w:val="180"/>
        </w:trPr>
        <w:tc>
          <w:tcPr>
            <w:tcW w:w="2965" w:type="dxa"/>
            <w:shd w:val="clear" w:color="auto" w:fill="auto"/>
          </w:tcPr>
          <w:p w14:paraId="02E60152" w14:textId="77777777" w:rsidR="00935009" w:rsidRDefault="00935009" w:rsidP="00935009">
            <w:pPr>
              <w:spacing w:after="0"/>
              <w:rPr>
                <w:sz w:val="12"/>
                <w:szCs w:val="12"/>
              </w:rPr>
            </w:pPr>
            <w:r>
              <w:rPr>
                <w:sz w:val="12"/>
                <w:szCs w:val="12"/>
              </w:rPr>
              <w:t>Chicano &amp; Latino Studies, BA</w:t>
            </w:r>
          </w:p>
        </w:tc>
        <w:tc>
          <w:tcPr>
            <w:tcW w:w="1718" w:type="dxa"/>
            <w:shd w:val="clear" w:color="auto" w:fill="auto"/>
          </w:tcPr>
          <w:p w14:paraId="4CCD5ACA" w14:textId="77777777" w:rsidR="00935009" w:rsidRDefault="00935009" w:rsidP="00935009">
            <w:pPr>
              <w:spacing w:after="0"/>
              <w:jc w:val="center"/>
              <w:rPr>
                <w:sz w:val="12"/>
                <w:szCs w:val="12"/>
              </w:rPr>
            </w:pPr>
            <w:r>
              <w:rPr>
                <w:sz w:val="12"/>
                <w:szCs w:val="12"/>
              </w:rPr>
              <w:t>10</w:t>
            </w:r>
          </w:p>
        </w:tc>
      </w:tr>
      <w:tr w:rsidR="00935009" w14:paraId="2AA61C2D" w14:textId="77777777" w:rsidTr="00227C6E">
        <w:trPr>
          <w:trHeight w:val="175"/>
        </w:trPr>
        <w:tc>
          <w:tcPr>
            <w:tcW w:w="2965" w:type="dxa"/>
            <w:shd w:val="clear" w:color="auto" w:fill="auto"/>
          </w:tcPr>
          <w:p w14:paraId="6F5D9C80" w14:textId="77777777" w:rsidR="00935009" w:rsidRDefault="00935009" w:rsidP="00935009">
            <w:pPr>
              <w:spacing w:after="0"/>
              <w:rPr>
                <w:sz w:val="12"/>
                <w:szCs w:val="12"/>
              </w:rPr>
            </w:pPr>
            <w:r>
              <w:rPr>
                <w:sz w:val="12"/>
                <w:szCs w:val="12"/>
              </w:rPr>
              <w:t>Communication Studies, BA</w:t>
            </w:r>
          </w:p>
        </w:tc>
        <w:tc>
          <w:tcPr>
            <w:tcW w:w="1718" w:type="dxa"/>
            <w:shd w:val="clear" w:color="auto" w:fill="auto"/>
          </w:tcPr>
          <w:p w14:paraId="7549C8B7" w14:textId="77777777" w:rsidR="00935009" w:rsidRDefault="00935009" w:rsidP="00935009">
            <w:pPr>
              <w:spacing w:after="0"/>
              <w:jc w:val="center"/>
              <w:rPr>
                <w:sz w:val="12"/>
                <w:szCs w:val="12"/>
              </w:rPr>
            </w:pPr>
            <w:r>
              <w:rPr>
                <w:sz w:val="12"/>
                <w:szCs w:val="12"/>
              </w:rPr>
              <w:t>5</w:t>
            </w:r>
          </w:p>
        </w:tc>
      </w:tr>
      <w:tr w:rsidR="00935009" w14:paraId="63E7192F" w14:textId="77777777" w:rsidTr="00227C6E">
        <w:trPr>
          <w:trHeight w:val="180"/>
        </w:trPr>
        <w:tc>
          <w:tcPr>
            <w:tcW w:w="2965" w:type="dxa"/>
            <w:shd w:val="clear" w:color="auto" w:fill="auto"/>
          </w:tcPr>
          <w:p w14:paraId="4193C263" w14:textId="77777777" w:rsidR="00935009" w:rsidRDefault="00935009" w:rsidP="00935009">
            <w:pPr>
              <w:spacing w:after="0"/>
              <w:rPr>
                <w:sz w:val="12"/>
                <w:szCs w:val="12"/>
              </w:rPr>
            </w:pPr>
            <w:r>
              <w:rPr>
                <w:sz w:val="12"/>
                <w:szCs w:val="12"/>
              </w:rPr>
              <w:t>English, BA</w:t>
            </w:r>
          </w:p>
        </w:tc>
        <w:tc>
          <w:tcPr>
            <w:tcW w:w="1718" w:type="dxa"/>
            <w:shd w:val="clear" w:color="auto" w:fill="auto"/>
          </w:tcPr>
          <w:p w14:paraId="5C953A36" w14:textId="77777777" w:rsidR="00935009" w:rsidRDefault="00935009" w:rsidP="00935009">
            <w:pPr>
              <w:spacing w:after="0"/>
              <w:jc w:val="center"/>
              <w:rPr>
                <w:sz w:val="12"/>
                <w:szCs w:val="12"/>
              </w:rPr>
            </w:pPr>
            <w:r>
              <w:rPr>
                <w:sz w:val="12"/>
                <w:szCs w:val="12"/>
              </w:rPr>
              <w:t>21</w:t>
            </w:r>
          </w:p>
        </w:tc>
      </w:tr>
      <w:tr w:rsidR="00935009" w14:paraId="56458FB0" w14:textId="77777777" w:rsidTr="00227C6E">
        <w:trPr>
          <w:trHeight w:val="180"/>
        </w:trPr>
        <w:tc>
          <w:tcPr>
            <w:tcW w:w="2965" w:type="dxa"/>
            <w:shd w:val="clear" w:color="auto" w:fill="auto"/>
          </w:tcPr>
          <w:p w14:paraId="33BE0BAC" w14:textId="77777777" w:rsidR="00935009" w:rsidRDefault="00935009" w:rsidP="00935009">
            <w:pPr>
              <w:spacing w:after="0"/>
              <w:rPr>
                <w:sz w:val="12"/>
                <w:szCs w:val="12"/>
              </w:rPr>
            </w:pPr>
            <w:r>
              <w:rPr>
                <w:sz w:val="12"/>
                <w:szCs w:val="12"/>
              </w:rPr>
              <w:t>English, MA</w:t>
            </w:r>
          </w:p>
        </w:tc>
        <w:tc>
          <w:tcPr>
            <w:tcW w:w="1718" w:type="dxa"/>
            <w:shd w:val="clear" w:color="auto" w:fill="auto"/>
          </w:tcPr>
          <w:p w14:paraId="1CD29908" w14:textId="77777777" w:rsidR="00935009" w:rsidRDefault="00935009" w:rsidP="00935009">
            <w:pPr>
              <w:spacing w:after="0"/>
              <w:jc w:val="center"/>
              <w:rPr>
                <w:sz w:val="12"/>
                <w:szCs w:val="12"/>
              </w:rPr>
            </w:pPr>
            <w:r>
              <w:rPr>
                <w:sz w:val="12"/>
                <w:szCs w:val="12"/>
              </w:rPr>
              <w:t>21</w:t>
            </w:r>
          </w:p>
        </w:tc>
      </w:tr>
      <w:tr w:rsidR="00935009" w14:paraId="157C1B78" w14:textId="77777777" w:rsidTr="00227C6E">
        <w:trPr>
          <w:trHeight w:val="175"/>
        </w:trPr>
        <w:tc>
          <w:tcPr>
            <w:tcW w:w="2965" w:type="dxa"/>
            <w:shd w:val="clear" w:color="auto" w:fill="auto"/>
          </w:tcPr>
          <w:p w14:paraId="45A62D3A" w14:textId="77777777" w:rsidR="00935009" w:rsidRDefault="00935009" w:rsidP="00935009">
            <w:pPr>
              <w:spacing w:after="0"/>
              <w:rPr>
                <w:sz w:val="12"/>
                <w:szCs w:val="12"/>
              </w:rPr>
            </w:pPr>
            <w:r>
              <w:rPr>
                <w:sz w:val="12"/>
                <w:szCs w:val="12"/>
              </w:rPr>
              <w:t>Film Studies, MA</w:t>
            </w:r>
          </w:p>
        </w:tc>
        <w:tc>
          <w:tcPr>
            <w:tcW w:w="1718" w:type="dxa"/>
            <w:shd w:val="clear" w:color="auto" w:fill="auto"/>
          </w:tcPr>
          <w:p w14:paraId="1321DF31" w14:textId="77777777" w:rsidR="00935009" w:rsidRDefault="00935009" w:rsidP="00935009">
            <w:pPr>
              <w:spacing w:after="0"/>
              <w:jc w:val="center"/>
              <w:rPr>
                <w:sz w:val="12"/>
                <w:szCs w:val="12"/>
              </w:rPr>
            </w:pPr>
            <w:r>
              <w:rPr>
                <w:sz w:val="12"/>
                <w:szCs w:val="12"/>
              </w:rPr>
              <w:t>6</w:t>
            </w:r>
          </w:p>
        </w:tc>
      </w:tr>
      <w:tr w:rsidR="00935009" w14:paraId="09BD1EAD" w14:textId="77777777" w:rsidTr="00227C6E">
        <w:trPr>
          <w:trHeight w:val="175"/>
        </w:trPr>
        <w:tc>
          <w:tcPr>
            <w:tcW w:w="2965" w:type="dxa"/>
            <w:shd w:val="clear" w:color="auto" w:fill="auto"/>
          </w:tcPr>
          <w:p w14:paraId="553674B4" w14:textId="77777777" w:rsidR="00935009" w:rsidRDefault="00935009" w:rsidP="00935009">
            <w:pPr>
              <w:spacing w:after="0"/>
              <w:rPr>
                <w:sz w:val="12"/>
                <w:szCs w:val="12"/>
              </w:rPr>
            </w:pPr>
            <w:r>
              <w:rPr>
                <w:sz w:val="12"/>
                <w:szCs w:val="12"/>
              </w:rPr>
              <w:t>French, BA</w:t>
            </w:r>
          </w:p>
        </w:tc>
        <w:tc>
          <w:tcPr>
            <w:tcW w:w="1718" w:type="dxa"/>
            <w:shd w:val="clear" w:color="auto" w:fill="auto"/>
          </w:tcPr>
          <w:p w14:paraId="2527FA61" w14:textId="77777777" w:rsidR="00935009" w:rsidRDefault="00935009" w:rsidP="00935009">
            <w:pPr>
              <w:spacing w:after="0"/>
              <w:jc w:val="center"/>
              <w:rPr>
                <w:sz w:val="12"/>
                <w:szCs w:val="12"/>
              </w:rPr>
            </w:pPr>
            <w:r>
              <w:rPr>
                <w:sz w:val="12"/>
                <w:szCs w:val="12"/>
              </w:rPr>
              <w:t>7</w:t>
            </w:r>
          </w:p>
        </w:tc>
      </w:tr>
      <w:tr w:rsidR="00935009" w14:paraId="2DB1385D" w14:textId="77777777" w:rsidTr="00227C6E">
        <w:trPr>
          <w:trHeight w:val="180"/>
        </w:trPr>
        <w:tc>
          <w:tcPr>
            <w:tcW w:w="2965" w:type="dxa"/>
            <w:shd w:val="clear" w:color="auto" w:fill="auto"/>
          </w:tcPr>
          <w:p w14:paraId="374E989B" w14:textId="77777777" w:rsidR="00935009" w:rsidRDefault="00935009" w:rsidP="00935009">
            <w:pPr>
              <w:spacing w:after="0"/>
              <w:rPr>
                <w:sz w:val="12"/>
                <w:szCs w:val="12"/>
              </w:rPr>
            </w:pPr>
            <w:r>
              <w:rPr>
                <w:sz w:val="12"/>
                <w:szCs w:val="12"/>
              </w:rPr>
              <w:t>German Cultural Studies, BA</w:t>
            </w:r>
          </w:p>
        </w:tc>
        <w:tc>
          <w:tcPr>
            <w:tcW w:w="1718" w:type="dxa"/>
            <w:shd w:val="clear" w:color="auto" w:fill="auto"/>
          </w:tcPr>
          <w:p w14:paraId="5D415044" w14:textId="77777777" w:rsidR="00935009" w:rsidRDefault="00935009" w:rsidP="00935009">
            <w:pPr>
              <w:spacing w:after="0"/>
              <w:jc w:val="center"/>
              <w:rPr>
                <w:sz w:val="12"/>
                <w:szCs w:val="12"/>
              </w:rPr>
            </w:pPr>
            <w:r>
              <w:rPr>
                <w:sz w:val="12"/>
                <w:szCs w:val="12"/>
              </w:rPr>
              <w:t>14</w:t>
            </w:r>
          </w:p>
        </w:tc>
      </w:tr>
      <w:tr w:rsidR="00935009" w14:paraId="1C950905" w14:textId="77777777" w:rsidTr="00227C6E">
        <w:trPr>
          <w:trHeight w:val="175"/>
        </w:trPr>
        <w:tc>
          <w:tcPr>
            <w:tcW w:w="2965" w:type="dxa"/>
            <w:shd w:val="clear" w:color="auto" w:fill="auto"/>
          </w:tcPr>
          <w:p w14:paraId="02CC24B3" w14:textId="77777777" w:rsidR="00935009" w:rsidRDefault="00935009" w:rsidP="00935009">
            <w:pPr>
              <w:spacing w:after="0"/>
              <w:rPr>
                <w:sz w:val="12"/>
                <w:szCs w:val="12"/>
              </w:rPr>
            </w:pPr>
            <w:r>
              <w:rPr>
                <w:sz w:val="12"/>
                <w:szCs w:val="12"/>
              </w:rPr>
              <w:t>Hutchins Liberal Studies, BA</w:t>
            </w:r>
          </w:p>
        </w:tc>
        <w:tc>
          <w:tcPr>
            <w:tcW w:w="1718" w:type="dxa"/>
            <w:shd w:val="clear" w:color="auto" w:fill="auto"/>
          </w:tcPr>
          <w:p w14:paraId="6CA8A37E" w14:textId="77777777" w:rsidR="00935009" w:rsidRDefault="00935009" w:rsidP="00935009">
            <w:pPr>
              <w:spacing w:after="0"/>
              <w:jc w:val="center"/>
              <w:rPr>
                <w:sz w:val="12"/>
                <w:szCs w:val="12"/>
              </w:rPr>
            </w:pPr>
            <w:r>
              <w:rPr>
                <w:sz w:val="12"/>
                <w:szCs w:val="12"/>
              </w:rPr>
              <w:t>6</w:t>
            </w:r>
          </w:p>
        </w:tc>
      </w:tr>
      <w:tr w:rsidR="00935009" w14:paraId="1CE0B39F" w14:textId="77777777" w:rsidTr="00227C6E">
        <w:trPr>
          <w:trHeight w:val="180"/>
        </w:trPr>
        <w:tc>
          <w:tcPr>
            <w:tcW w:w="2965" w:type="dxa"/>
            <w:shd w:val="clear" w:color="auto" w:fill="auto"/>
          </w:tcPr>
          <w:p w14:paraId="1C87D31E" w14:textId="77777777" w:rsidR="00935009" w:rsidRDefault="00935009" w:rsidP="00935009">
            <w:pPr>
              <w:spacing w:after="0"/>
              <w:rPr>
                <w:sz w:val="12"/>
                <w:szCs w:val="12"/>
              </w:rPr>
            </w:pPr>
            <w:r>
              <w:rPr>
                <w:sz w:val="12"/>
                <w:szCs w:val="12"/>
              </w:rPr>
              <w:t>Liberal Studies, BA degree completion</w:t>
            </w:r>
          </w:p>
        </w:tc>
        <w:tc>
          <w:tcPr>
            <w:tcW w:w="1718" w:type="dxa"/>
            <w:shd w:val="clear" w:color="auto" w:fill="auto"/>
          </w:tcPr>
          <w:p w14:paraId="21BAF89F" w14:textId="77777777" w:rsidR="00935009" w:rsidRDefault="00935009" w:rsidP="00935009">
            <w:pPr>
              <w:spacing w:after="0"/>
              <w:jc w:val="center"/>
              <w:rPr>
                <w:sz w:val="12"/>
                <w:szCs w:val="12"/>
              </w:rPr>
            </w:pPr>
            <w:r>
              <w:rPr>
                <w:sz w:val="12"/>
                <w:szCs w:val="12"/>
              </w:rPr>
              <w:t>12</w:t>
            </w:r>
          </w:p>
        </w:tc>
      </w:tr>
      <w:tr w:rsidR="00935009" w14:paraId="7F543704" w14:textId="77777777" w:rsidTr="00227C6E">
        <w:trPr>
          <w:trHeight w:val="180"/>
        </w:trPr>
        <w:tc>
          <w:tcPr>
            <w:tcW w:w="2965" w:type="dxa"/>
            <w:shd w:val="clear" w:color="auto" w:fill="auto"/>
          </w:tcPr>
          <w:p w14:paraId="735795A7" w14:textId="77777777" w:rsidR="00935009" w:rsidRDefault="00935009" w:rsidP="00935009">
            <w:pPr>
              <w:spacing w:after="0"/>
              <w:rPr>
                <w:sz w:val="12"/>
                <w:szCs w:val="12"/>
              </w:rPr>
            </w:pPr>
            <w:r>
              <w:rPr>
                <w:sz w:val="12"/>
                <w:szCs w:val="12"/>
              </w:rPr>
              <w:t>Music, BM</w:t>
            </w:r>
          </w:p>
        </w:tc>
        <w:tc>
          <w:tcPr>
            <w:tcW w:w="1718" w:type="dxa"/>
            <w:shd w:val="clear" w:color="auto" w:fill="auto"/>
          </w:tcPr>
          <w:p w14:paraId="02151F08" w14:textId="77777777" w:rsidR="00935009" w:rsidRDefault="00935009" w:rsidP="00935009">
            <w:pPr>
              <w:spacing w:after="0"/>
              <w:jc w:val="center"/>
              <w:rPr>
                <w:sz w:val="12"/>
                <w:szCs w:val="12"/>
              </w:rPr>
            </w:pPr>
            <w:r>
              <w:rPr>
                <w:sz w:val="12"/>
                <w:szCs w:val="12"/>
              </w:rPr>
              <w:t>5</w:t>
            </w:r>
          </w:p>
        </w:tc>
      </w:tr>
      <w:tr w:rsidR="00935009" w14:paraId="22A2F796" w14:textId="77777777" w:rsidTr="00227C6E">
        <w:trPr>
          <w:trHeight w:val="175"/>
        </w:trPr>
        <w:tc>
          <w:tcPr>
            <w:tcW w:w="2965" w:type="dxa"/>
            <w:shd w:val="clear" w:color="auto" w:fill="auto"/>
          </w:tcPr>
          <w:p w14:paraId="5CCF8EBD" w14:textId="77777777" w:rsidR="00935009" w:rsidRDefault="00935009" w:rsidP="00935009">
            <w:pPr>
              <w:spacing w:after="0"/>
              <w:rPr>
                <w:sz w:val="12"/>
                <w:szCs w:val="12"/>
              </w:rPr>
            </w:pPr>
            <w:r>
              <w:rPr>
                <w:sz w:val="12"/>
                <w:szCs w:val="12"/>
              </w:rPr>
              <w:t>Music, BA</w:t>
            </w:r>
          </w:p>
        </w:tc>
        <w:tc>
          <w:tcPr>
            <w:tcW w:w="1718" w:type="dxa"/>
            <w:shd w:val="clear" w:color="auto" w:fill="auto"/>
          </w:tcPr>
          <w:p w14:paraId="21A3C400" w14:textId="77777777" w:rsidR="00935009" w:rsidRDefault="00935009" w:rsidP="00935009">
            <w:pPr>
              <w:spacing w:after="0"/>
              <w:jc w:val="center"/>
              <w:rPr>
                <w:sz w:val="12"/>
                <w:szCs w:val="12"/>
              </w:rPr>
            </w:pPr>
            <w:r>
              <w:rPr>
                <w:sz w:val="12"/>
                <w:szCs w:val="12"/>
              </w:rPr>
              <w:t>3</w:t>
            </w:r>
          </w:p>
        </w:tc>
      </w:tr>
      <w:tr w:rsidR="00935009" w14:paraId="0ED86C95" w14:textId="77777777" w:rsidTr="00227C6E">
        <w:trPr>
          <w:trHeight w:val="180"/>
        </w:trPr>
        <w:tc>
          <w:tcPr>
            <w:tcW w:w="2965" w:type="dxa"/>
            <w:shd w:val="clear" w:color="auto" w:fill="auto"/>
          </w:tcPr>
          <w:p w14:paraId="6101092F" w14:textId="77777777" w:rsidR="00935009" w:rsidRDefault="00935009" w:rsidP="00935009">
            <w:pPr>
              <w:spacing w:after="0"/>
              <w:rPr>
                <w:sz w:val="12"/>
                <w:szCs w:val="12"/>
              </w:rPr>
            </w:pPr>
            <w:r>
              <w:rPr>
                <w:sz w:val="12"/>
                <w:szCs w:val="12"/>
              </w:rPr>
              <w:t>Philosophy, BA</w:t>
            </w:r>
          </w:p>
        </w:tc>
        <w:tc>
          <w:tcPr>
            <w:tcW w:w="1718" w:type="dxa"/>
            <w:shd w:val="clear" w:color="auto" w:fill="auto"/>
          </w:tcPr>
          <w:p w14:paraId="7FCA4C27" w14:textId="77777777" w:rsidR="00935009" w:rsidRDefault="00935009" w:rsidP="00935009">
            <w:pPr>
              <w:spacing w:after="0"/>
              <w:jc w:val="center"/>
              <w:rPr>
                <w:sz w:val="12"/>
                <w:szCs w:val="12"/>
              </w:rPr>
            </w:pPr>
            <w:r>
              <w:rPr>
                <w:sz w:val="12"/>
                <w:szCs w:val="12"/>
              </w:rPr>
              <w:t>4</w:t>
            </w:r>
          </w:p>
        </w:tc>
      </w:tr>
      <w:tr w:rsidR="00935009" w14:paraId="30E48E43" w14:textId="77777777" w:rsidTr="00227C6E">
        <w:trPr>
          <w:trHeight w:val="175"/>
        </w:trPr>
        <w:tc>
          <w:tcPr>
            <w:tcW w:w="2965" w:type="dxa"/>
            <w:shd w:val="clear" w:color="auto" w:fill="auto"/>
          </w:tcPr>
          <w:p w14:paraId="1FCA3FB6" w14:textId="77777777" w:rsidR="00935009" w:rsidRDefault="00935009" w:rsidP="00935009">
            <w:pPr>
              <w:spacing w:after="0"/>
              <w:rPr>
                <w:sz w:val="12"/>
                <w:szCs w:val="12"/>
              </w:rPr>
            </w:pPr>
            <w:r>
              <w:rPr>
                <w:sz w:val="12"/>
                <w:szCs w:val="12"/>
              </w:rPr>
              <w:t>Spanish, BA</w:t>
            </w:r>
          </w:p>
        </w:tc>
        <w:tc>
          <w:tcPr>
            <w:tcW w:w="1718" w:type="dxa"/>
            <w:shd w:val="clear" w:color="auto" w:fill="auto"/>
          </w:tcPr>
          <w:p w14:paraId="2CFAE9B5" w14:textId="77777777" w:rsidR="00935009" w:rsidRDefault="00935009" w:rsidP="00935009">
            <w:pPr>
              <w:spacing w:after="0"/>
              <w:jc w:val="center"/>
              <w:rPr>
                <w:sz w:val="12"/>
                <w:szCs w:val="12"/>
              </w:rPr>
            </w:pPr>
            <w:r>
              <w:rPr>
                <w:sz w:val="12"/>
                <w:szCs w:val="12"/>
              </w:rPr>
              <w:t>11</w:t>
            </w:r>
          </w:p>
        </w:tc>
      </w:tr>
      <w:tr w:rsidR="00935009" w14:paraId="6ED6C85D" w14:textId="77777777" w:rsidTr="00227C6E">
        <w:trPr>
          <w:trHeight w:val="180"/>
        </w:trPr>
        <w:tc>
          <w:tcPr>
            <w:tcW w:w="2965" w:type="dxa"/>
            <w:shd w:val="clear" w:color="auto" w:fill="auto"/>
          </w:tcPr>
          <w:p w14:paraId="4B325B15" w14:textId="77777777" w:rsidR="00935009" w:rsidRDefault="00935009" w:rsidP="00935009">
            <w:pPr>
              <w:spacing w:after="0"/>
              <w:rPr>
                <w:sz w:val="12"/>
                <w:szCs w:val="12"/>
              </w:rPr>
            </w:pPr>
            <w:r>
              <w:rPr>
                <w:sz w:val="12"/>
                <w:szCs w:val="12"/>
              </w:rPr>
              <w:t>Spanish, MA</w:t>
            </w:r>
          </w:p>
        </w:tc>
        <w:tc>
          <w:tcPr>
            <w:tcW w:w="1718" w:type="dxa"/>
            <w:shd w:val="clear" w:color="auto" w:fill="auto"/>
          </w:tcPr>
          <w:p w14:paraId="65DD1E0D" w14:textId="77777777" w:rsidR="00935009" w:rsidRDefault="00935009" w:rsidP="00935009">
            <w:pPr>
              <w:spacing w:after="0"/>
              <w:jc w:val="center"/>
              <w:rPr>
                <w:sz w:val="12"/>
                <w:szCs w:val="12"/>
              </w:rPr>
            </w:pPr>
            <w:r>
              <w:rPr>
                <w:sz w:val="12"/>
                <w:szCs w:val="12"/>
              </w:rPr>
              <w:t>5</w:t>
            </w:r>
          </w:p>
        </w:tc>
      </w:tr>
      <w:tr w:rsidR="00935009" w14:paraId="68514349" w14:textId="77777777" w:rsidTr="00227C6E">
        <w:trPr>
          <w:trHeight w:val="180"/>
        </w:trPr>
        <w:tc>
          <w:tcPr>
            <w:tcW w:w="2965" w:type="dxa"/>
            <w:shd w:val="clear" w:color="auto" w:fill="auto"/>
          </w:tcPr>
          <w:p w14:paraId="40D18A5A" w14:textId="77777777" w:rsidR="00935009" w:rsidRDefault="00935009" w:rsidP="00935009">
            <w:pPr>
              <w:spacing w:after="0"/>
              <w:rPr>
                <w:sz w:val="12"/>
                <w:szCs w:val="12"/>
              </w:rPr>
            </w:pPr>
            <w:r>
              <w:rPr>
                <w:sz w:val="12"/>
                <w:szCs w:val="12"/>
              </w:rPr>
              <w:t>Theatre Arts, BA</w:t>
            </w:r>
          </w:p>
        </w:tc>
        <w:tc>
          <w:tcPr>
            <w:tcW w:w="1718" w:type="dxa"/>
            <w:shd w:val="clear" w:color="auto" w:fill="auto"/>
          </w:tcPr>
          <w:p w14:paraId="41B56E32" w14:textId="77777777" w:rsidR="00935009" w:rsidRDefault="00935009" w:rsidP="00935009">
            <w:pPr>
              <w:spacing w:after="0"/>
              <w:jc w:val="center"/>
              <w:rPr>
                <w:sz w:val="12"/>
                <w:szCs w:val="12"/>
              </w:rPr>
            </w:pPr>
            <w:r>
              <w:rPr>
                <w:sz w:val="12"/>
                <w:szCs w:val="12"/>
              </w:rPr>
              <w:t>10</w:t>
            </w:r>
          </w:p>
        </w:tc>
      </w:tr>
      <w:tr w:rsidR="00935009" w14:paraId="62AB624B" w14:textId="77777777" w:rsidTr="00227C6E">
        <w:trPr>
          <w:trHeight w:val="222"/>
        </w:trPr>
        <w:tc>
          <w:tcPr>
            <w:tcW w:w="4683" w:type="dxa"/>
            <w:gridSpan w:val="2"/>
            <w:shd w:val="clear" w:color="auto" w:fill="BFBFBF"/>
            <w:vAlign w:val="center"/>
          </w:tcPr>
          <w:p w14:paraId="108F4088" w14:textId="77777777" w:rsidR="00935009" w:rsidRDefault="00935009" w:rsidP="00935009">
            <w:pPr>
              <w:spacing w:after="0"/>
              <w:rPr>
                <w:sz w:val="12"/>
                <w:szCs w:val="12"/>
              </w:rPr>
            </w:pPr>
            <w:r>
              <w:rPr>
                <w:b/>
                <w:sz w:val="12"/>
                <w:szCs w:val="12"/>
              </w:rPr>
              <w:t>School of Business and Economics</w:t>
            </w:r>
          </w:p>
        </w:tc>
      </w:tr>
      <w:tr w:rsidR="00935009" w14:paraId="7A78884E" w14:textId="77777777" w:rsidTr="00227C6E">
        <w:trPr>
          <w:trHeight w:val="180"/>
        </w:trPr>
        <w:tc>
          <w:tcPr>
            <w:tcW w:w="2965" w:type="dxa"/>
            <w:shd w:val="clear" w:color="auto" w:fill="auto"/>
          </w:tcPr>
          <w:p w14:paraId="63E6BC9F" w14:textId="77777777" w:rsidR="00935009" w:rsidRDefault="00935009" w:rsidP="00935009">
            <w:pPr>
              <w:spacing w:after="0"/>
              <w:rPr>
                <w:b/>
                <w:sz w:val="12"/>
                <w:szCs w:val="12"/>
              </w:rPr>
            </w:pPr>
            <w:r>
              <w:rPr>
                <w:sz w:val="12"/>
                <w:szCs w:val="12"/>
              </w:rPr>
              <w:t>Business Admin, BS</w:t>
            </w:r>
          </w:p>
        </w:tc>
        <w:tc>
          <w:tcPr>
            <w:tcW w:w="1718" w:type="dxa"/>
            <w:shd w:val="clear" w:color="auto" w:fill="auto"/>
          </w:tcPr>
          <w:p w14:paraId="25DF16C0" w14:textId="77777777" w:rsidR="00935009" w:rsidRDefault="00935009" w:rsidP="00935009">
            <w:pPr>
              <w:spacing w:after="0"/>
              <w:jc w:val="center"/>
              <w:rPr>
                <w:sz w:val="12"/>
                <w:szCs w:val="12"/>
              </w:rPr>
            </w:pPr>
            <w:r>
              <w:rPr>
                <w:sz w:val="12"/>
                <w:szCs w:val="12"/>
              </w:rPr>
              <w:t>6</w:t>
            </w:r>
          </w:p>
        </w:tc>
      </w:tr>
      <w:tr w:rsidR="00935009" w14:paraId="44780DC8" w14:textId="77777777" w:rsidTr="00227C6E">
        <w:trPr>
          <w:trHeight w:val="180"/>
        </w:trPr>
        <w:tc>
          <w:tcPr>
            <w:tcW w:w="2965" w:type="dxa"/>
            <w:shd w:val="clear" w:color="auto" w:fill="auto"/>
          </w:tcPr>
          <w:p w14:paraId="7D122041" w14:textId="77777777" w:rsidR="00935009" w:rsidRDefault="00935009" w:rsidP="00935009">
            <w:pPr>
              <w:spacing w:after="0"/>
              <w:rPr>
                <w:b/>
                <w:sz w:val="12"/>
                <w:szCs w:val="12"/>
              </w:rPr>
            </w:pPr>
            <w:r>
              <w:rPr>
                <w:sz w:val="12"/>
                <w:szCs w:val="12"/>
              </w:rPr>
              <w:t>Business Admin, MBA</w:t>
            </w:r>
          </w:p>
        </w:tc>
        <w:tc>
          <w:tcPr>
            <w:tcW w:w="1718" w:type="dxa"/>
            <w:shd w:val="clear" w:color="auto" w:fill="auto"/>
          </w:tcPr>
          <w:p w14:paraId="3B6C4AA2" w14:textId="77777777" w:rsidR="00935009" w:rsidRDefault="00935009" w:rsidP="00935009">
            <w:pPr>
              <w:spacing w:after="0"/>
              <w:jc w:val="center"/>
              <w:rPr>
                <w:sz w:val="12"/>
                <w:szCs w:val="12"/>
              </w:rPr>
            </w:pPr>
            <w:r>
              <w:rPr>
                <w:sz w:val="12"/>
                <w:szCs w:val="12"/>
              </w:rPr>
              <w:t>5</w:t>
            </w:r>
          </w:p>
        </w:tc>
      </w:tr>
      <w:tr w:rsidR="00935009" w14:paraId="5AA0EF11" w14:textId="77777777" w:rsidTr="00227C6E">
        <w:trPr>
          <w:trHeight w:val="175"/>
        </w:trPr>
        <w:tc>
          <w:tcPr>
            <w:tcW w:w="2965" w:type="dxa"/>
            <w:shd w:val="clear" w:color="auto" w:fill="auto"/>
          </w:tcPr>
          <w:p w14:paraId="4CB57ED5" w14:textId="77777777" w:rsidR="00935009" w:rsidRDefault="00935009" w:rsidP="00935009">
            <w:pPr>
              <w:spacing w:after="0"/>
              <w:rPr>
                <w:sz w:val="12"/>
                <w:szCs w:val="12"/>
              </w:rPr>
            </w:pPr>
            <w:r>
              <w:rPr>
                <w:sz w:val="12"/>
                <w:szCs w:val="12"/>
              </w:rPr>
              <w:t>Business Admin, EMBA</w:t>
            </w:r>
          </w:p>
        </w:tc>
        <w:tc>
          <w:tcPr>
            <w:tcW w:w="1718" w:type="dxa"/>
            <w:shd w:val="clear" w:color="auto" w:fill="auto"/>
          </w:tcPr>
          <w:p w14:paraId="69CF8EAA" w14:textId="77777777" w:rsidR="00935009" w:rsidRDefault="00935009" w:rsidP="00935009">
            <w:pPr>
              <w:spacing w:after="0"/>
              <w:jc w:val="center"/>
              <w:rPr>
                <w:sz w:val="12"/>
                <w:szCs w:val="12"/>
              </w:rPr>
            </w:pPr>
            <w:r>
              <w:rPr>
                <w:sz w:val="12"/>
                <w:szCs w:val="12"/>
              </w:rPr>
              <w:t>4</w:t>
            </w:r>
          </w:p>
        </w:tc>
      </w:tr>
      <w:tr w:rsidR="00935009" w14:paraId="77AF328A" w14:textId="77777777" w:rsidTr="00227C6E">
        <w:trPr>
          <w:trHeight w:val="180"/>
        </w:trPr>
        <w:tc>
          <w:tcPr>
            <w:tcW w:w="2965" w:type="dxa"/>
            <w:shd w:val="clear" w:color="auto" w:fill="auto"/>
          </w:tcPr>
          <w:p w14:paraId="6B003AD0" w14:textId="77777777" w:rsidR="00935009" w:rsidRDefault="00935009" w:rsidP="00935009">
            <w:pPr>
              <w:spacing w:after="0"/>
              <w:rPr>
                <w:sz w:val="12"/>
                <w:szCs w:val="12"/>
              </w:rPr>
            </w:pPr>
            <w:r>
              <w:rPr>
                <w:sz w:val="12"/>
                <w:szCs w:val="12"/>
              </w:rPr>
              <w:t>Economics, BA</w:t>
            </w:r>
          </w:p>
        </w:tc>
        <w:tc>
          <w:tcPr>
            <w:tcW w:w="1718" w:type="dxa"/>
            <w:shd w:val="clear" w:color="auto" w:fill="auto"/>
          </w:tcPr>
          <w:p w14:paraId="02DD1D06" w14:textId="77777777" w:rsidR="00935009" w:rsidRDefault="00935009" w:rsidP="00935009">
            <w:pPr>
              <w:spacing w:after="0"/>
              <w:jc w:val="center"/>
              <w:rPr>
                <w:sz w:val="12"/>
                <w:szCs w:val="12"/>
              </w:rPr>
            </w:pPr>
            <w:r>
              <w:rPr>
                <w:sz w:val="12"/>
                <w:szCs w:val="12"/>
              </w:rPr>
              <w:t>4</w:t>
            </w:r>
          </w:p>
        </w:tc>
      </w:tr>
      <w:tr w:rsidR="00935009" w14:paraId="109492AF" w14:textId="77777777" w:rsidTr="00227C6E">
        <w:trPr>
          <w:trHeight w:val="222"/>
        </w:trPr>
        <w:tc>
          <w:tcPr>
            <w:tcW w:w="4683" w:type="dxa"/>
            <w:gridSpan w:val="2"/>
            <w:shd w:val="clear" w:color="auto" w:fill="BFBFBF"/>
            <w:vAlign w:val="center"/>
          </w:tcPr>
          <w:p w14:paraId="1732BD4B" w14:textId="77777777" w:rsidR="00935009" w:rsidRDefault="00935009" w:rsidP="00935009">
            <w:pPr>
              <w:spacing w:after="0"/>
              <w:rPr>
                <w:sz w:val="12"/>
                <w:szCs w:val="12"/>
              </w:rPr>
            </w:pPr>
            <w:r>
              <w:rPr>
                <w:b/>
                <w:sz w:val="12"/>
                <w:szCs w:val="12"/>
              </w:rPr>
              <w:t>School of Education</w:t>
            </w:r>
          </w:p>
        </w:tc>
      </w:tr>
      <w:tr w:rsidR="00935009" w14:paraId="6AA25127" w14:textId="77777777" w:rsidTr="00227C6E">
        <w:trPr>
          <w:trHeight w:val="180"/>
        </w:trPr>
        <w:tc>
          <w:tcPr>
            <w:tcW w:w="2965" w:type="dxa"/>
            <w:shd w:val="clear" w:color="auto" w:fill="auto"/>
          </w:tcPr>
          <w:p w14:paraId="2ECBEC09" w14:textId="77777777" w:rsidR="00935009" w:rsidRDefault="00935009" w:rsidP="00935009">
            <w:pPr>
              <w:spacing w:after="0"/>
              <w:rPr>
                <w:b/>
                <w:sz w:val="12"/>
                <w:szCs w:val="12"/>
              </w:rPr>
            </w:pPr>
            <w:r>
              <w:rPr>
                <w:sz w:val="12"/>
                <w:szCs w:val="12"/>
              </w:rPr>
              <w:t>Early Childhood Studies, BA</w:t>
            </w:r>
          </w:p>
        </w:tc>
        <w:tc>
          <w:tcPr>
            <w:tcW w:w="1718" w:type="dxa"/>
            <w:shd w:val="clear" w:color="auto" w:fill="auto"/>
          </w:tcPr>
          <w:p w14:paraId="602AF267" w14:textId="77777777" w:rsidR="00935009" w:rsidRDefault="00935009" w:rsidP="00935009">
            <w:pPr>
              <w:spacing w:after="0"/>
              <w:jc w:val="center"/>
              <w:rPr>
                <w:sz w:val="12"/>
                <w:szCs w:val="12"/>
              </w:rPr>
            </w:pPr>
            <w:r>
              <w:rPr>
                <w:sz w:val="12"/>
                <w:szCs w:val="12"/>
              </w:rPr>
              <w:t>7/concentration</w:t>
            </w:r>
          </w:p>
        </w:tc>
      </w:tr>
      <w:tr w:rsidR="00935009" w14:paraId="1EBACCCC" w14:textId="77777777" w:rsidTr="00227C6E">
        <w:trPr>
          <w:trHeight w:val="180"/>
        </w:trPr>
        <w:tc>
          <w:tcPr>
            <w:tcW w:w="2965" w:type="dxa"/>
            <w:shd w:val="clear" w:color="auto" w:fill="auto"/>
          </w:tcPr>
          <w:p w14:paraId="7010290B" w14:textId="77777777" w:rsidR="00935009" w:rsidRDefault="00935009" w:rsidP="00935009">
            <w:pPr>
              <w:spacing w:after="0"/>
              <w:rPr>
                <w:b/>
                <w:sz w:val="12"/>
                <w:szCs w:val="12"/>
              </w:rPr>
            </w:pPr>
            <w:r>
              <w:rPr>
                <w:sz w:val="12"/>
                <w:szCs w:val="12"/>
              </w:rPr>
              <w:t>Education, MA</w:t>
            </w:r>
          </w:p>
        </w:tc>
        <w:tc>
          <w:tcPr>
            <w:tcW w:w="1718" w:type="dxa"/>
            <w:shd w:val="clear" w:color="auto" w:fill="auto"/>
          </w:tcPr>
          <w:p w14:paraId="37039012" w14:textId="77777777" w:rsidR="00935009" w:rsidRDefault="00935009" w:rsidP="00935009">
            <w:pPr>
              <w:spacing w:after="0"/>
              <w:jc w:val="center"/>
              <w:rPr>
                <w:sz w:val="12"/>
                <w:szCs w:val="12"/>
              </w:rPr>
            </w:pPr>
            <w:r>
              <w:rPr>
                <w:sz w:val="12"/>
                <w:szCs w:val="12"/>
              </w:rPr>
              <w:t>7</w:t>
            </w:r>
          </w:p>
        </w:tc>
      </w:tr>
      <w:tr w:rsidR="00935009" w14:paraId="236828C7" w14:textId="77777777" w:rsidTr="00227C6E">
        <w:trPr>
          <w:trHeight w:val="249"/>
        </w:trPr>
        <w:tc>
          <w:tcPr>
            <w:tcW w:w="4683" w:type="dxa"/>
            <w:gridSpan w:val="2"/>
            <w:shd w:val="clear" w:color="auto" w:fill="BFBFBF"/>
            <w:vAlign w:val="center"/>
          </w:tcPr>
          <w:p w14:paraId="7F4F61CE" w14:textId="77777777" w:rsidR="00935009" w:rsidRDefault="00935009" w:rsidP="00935009">
            <w:pPr>
              <w:spacing w:after="0"/>
              <w:rPr>
                <w:sz w:val="12"/>
                <w:szCs w:val="12"/>
              </w:rPr>
            </w:pPr>
            <w:r>
              <w:rPr>
                <w:b/>
                <w:sz w:val="12"/>
                <w:szCs w:val="12"/>
              </w:rPr>
              <w:t>School of Science and Technology</w:t>
            </w:r>
          </w:p>
        </w:tc>
      </w:tr>
      <w:tr w:rsidR="00935009" w14:paraId="104F4429" w14:textId="77777777" w:rsidTr="00227C6E">
        <w:trPr>
          <w:trHeight w:val="180"/>
        </w:trPr>
        <w:tc>
          <w:tcPr>
            <w:tcW w:w="2965" w:type="dxa"/>
            <w:shd w:val="clear" w:color="auto" w:fill="auto"/>
          </w:tcPr>
          <w:p w14:paraId="6DF12764" w14:textId="77777777" w:rsidR="00935009" w:rsidRDefault="00935009" w:rsidP="00935009">
            <w:pPr>
              <w:spacing w:after="0"/>
              <w:rPr>
                <w:sz w:val="12"/>
                <w:szCs w:val="12"/>
              </w:rPr>
            </w:pPr>
            <w:r>
              <w:rPr>
                <w:sz w:val="12"/>
                <w:szCs w:val="12"/>
              </w:rPr>
              <w:t>Biology, BA/BS</w:t>
            </w:r>
          </w:p>
        </w:tc>
        <w:tc>
          <w:tcPr>
            <w:tcW w:w="1718" w:type="dxa"/>
            <w:shd w:val="clear" w:color="auto" w:fill="auto"/>
          </w:tcPr>
          <w:p w14:paraId="57812402" w14:textId="77777777" w:rsidR="00935009" w:rsidRDefault="00935009" w:rsidP="00935009">
            <w:pPr>
              <w:spacing w:after="0"/>
              <w:jc w:val="center"/>
              <w:rPr>
                <w:sz w:val="12"/>
                <w:szCs w:val="12"/>
              </w:rPr>
            </w:pPr>
            <w:r>
              <w:rPr>
                <w:sz w:val="12"/>
                <w:szCs w:val="12"/>
              </w:rPr>
              <w:t>4/4</w:t>
            </w:r>
          </w:p>
        </w:tc>
      </w:tr>
      <w:tr w:rsidR="00935009" w14:paraId="4525C263" w14:textId="77777777" w:rsidTr="00227C6E">
        <w:trPr>
          <w:trHeight w:val="180"/>
        </w:trPr>
        <w:tc>
          <w:tcPr>
            <w:tcW w:w="2965" w:type="dxa"/>
            <w:shd w:val="clear" w:color="auto" w:fill="auto"/>
          </w:tcPr>
          <w:p w14:paraId="4BF68DCB" w14:textId="77777777" w:rsidR="00935009" w:rsidRDefault="00935009" w:rsidP="00935009">
            <w:pPr>
              <w:spacing w:after="0"/>
              <w:rPr>
                <w:sz w:val="12"/>
                <w:szCs w:val="12"/>
              </w:rPr>
            </w:pPr>
            <w:r>
              <w:rPr>
                <w:sz w:val="12"/>
                <w:szCs w:val="12"/>
              </w:rPr>
              <w:t>Biology, MS</w:t>
            </w:r>
          </w:p>
        </w:tc>
        <w:tc>
          <w:tcPr>
            <w:tcW w:w="1718" w:type="dxa"/>
            <w:shd w:val="clear" w:color="auto" w:fill="auto"/>
          </w:tcPr>
          <w:p w14:paraId="4CAA87BA" w14:textId="77777777" w:rsidR="00935009" w:rsidRDefault="00935009" w:rsidP="00935009">
            <w:pPr>
              <w:spacing w:after="0"/>
              <w:jc w:val="center"/>
              <w:rPr>
                <w:sz w:val="12"/>
                <w:szCs w:val="12"/>
              </w:rPr>
            </w:pPr>
            <w:r>
              <w:rPr>
                <w:sz w:val="12"/>
                <w:szCs w:val="12"/>
              </w:rPr>
              <w:t>4</w:t>
            </w:r>
          </w:p>
        </w:tc>
      </w:tr>
      <w:tr w:rsidR="00935009" w14:paraId="26DAA42E" w14:textId="77777777" w:rsidTr="00227C6E">
        <w:trPr>
          <w:trHeight w:val="186"/>
        </w:trPr>
        <w:tc>
          <w:tcPr>
            <w:tcW w:w="2965" w:type="dxa"/>
            <w:shd w:val="clear" w:color="auto" w:fill="auto"/>
          </w:tcPr>
          <w:p w14:paraId="549F254F" w14:textId="77777777" w:rsidR="00935009" w:rsidRDefault="00935009" w:rsidP="00935009">
            <w:pPr>
              <w:spacing w:after="0"/>
              <w:rPr>
                <w:sz w:val="12"/>
                <w:szCs w:val="12"/>
              </w:rPr>
            </w:pPr>
            <w:r>
              <w:rPr>
                <w:sz w:val="12"/>
                <w:szCs w:val="12"/>
              </w:rPr>
              <w:t>Chemistry, BA/BS</w:t>
            </w:r>
          </w:p>
        </w:tc>
        <w:tc>
          <w:tcPr>
            <w:tcW w:w="1718" w:type="dxa"/>
            <w:shd w:val="clear" w:color="auto" w:fill="auto"/>
          </w:tcPr>
          <w:p w14:paraId="78671D44" w14:textId="77777777" w:rsidR="00935009" w:rsidRDefault="00935009" w:rsidP="00935009">
            <w:pPr>
              <w:spacing w:after="0"/>
              <w:jc w:val="center"/>
              <w:rPr>
                <w:sz w:val="12"/>
                <w:szCs w:val="12"/>
              </w:rPr>
            </w:pPr>
            <w:r>
              <w:rPr>
                <w:sz w:val="12"/>
                <w:szCs w:val="12"/>
              </w:rPr>
              <w:t>11/14</w:t>
            </w:r>
          </w:p>
        </w:tc>
      </w:tr>
      <w:tr w:rsidR="00935009" w14:paraId="45BBAC38" w14:textId="77777777" w:rsidTr="00227C6E">
        <w:trPr>
          <w:trHeight w:val="168"/>
        </w:trPr>
        <w:tc>
          <w:tcPr>
            <w:tcW w:w="2965" w:type="dxa"/>
            <w:shd w:val="clear" w:color="auto" w:fill="auto"/>
          </w:tcPr>
          <w:p w14:paraId="2CD93089" w14:textId="77777777" w:rsidR="00935009" w:rsidRDefault="00935009" w:rsidP="00935009">
            <w:pPr>
              <w:spacing w:after="0"/>
              <w:rPr>
                <w:sz w:val="12"/>
                <w:szCs w:val="12"/>
              </w:rPr>
            </w:pPr>
            <w:r>
              <w:rPr>
                <w:sz w:val="12"/>
                <w:szCs w:val="12"/>
              </w:rPr>
              <w:t>Biochemistry, BS</w:t>
            </w:r>
          </w:p>
        </w:tc>
        <w:tc>
          <w:tcPr>
            <w:tcW w:w="1718" w:type="dxa"/>
            <w:shd w:val="clear" w:color="auto" w:fill="auto"/>
          </w:tcPr>
          <w:p w14:paraId="2327B79C" w14:textId="77777777" w:rsidR="00935009" w:rsidRDefault="00935009" w:rsidP="00935009">
            <w:pPr>
              <w:spacing w:after="0"/>
              <w:jc w:val="center"/>
              <w:rPr>
                <w:sz w:val="12"/>
                <w:szCs w:val="12"/>
              </w:rPr>
            </w:pPr>
            <w:r>
              <w:rPr>
                <w:sz w:val="12"/>
                <w:szCs w:val="12"/>
              </w:rPr>
              <w:t>14</w:t>
            </w:r>
          </w:p>
        </w:tc>
      </w:tr>
      <w:tr w:rsidR="00935009" w14:paraId="7EA84603" w14:textId="77777777" w:rsidTr="00227C6E">
        <w:trPr>
          <w:trHeight w:val="175"/>
        </w:trPr>
        <w:tc>
          <w:tcPr>
            <w:tcW w:w="2965" w:type="dxa"/>
            <w:shd w:val="clear" w:color="auto" w:fill="auto"/>
          </w:tcPr>
          <w:p w14:paraId="4BCAC44C" w14:textId="77777777" w:rsidR="00935009" w:rsidRDefault="00935009" w:rsidP="00935009">
            <w:pPr>
              <w:spacing w:after="0"/>
              <w:rPr>
                <w:sz w:val="12"/>
                <w:szCs w:val="12"/>
              </w:rPr>
            </w:pPr>
            <w:r>
              <w:rPr>
                <w:sz w:val="12"/>
                <w:szCs w:val="12"/>
              </w:rPr>
              <w:t>Computer Science, BS</w:t>
            </w:r>
          </w:p>
        </w:tc>
        <w:tc>
          <w:tcPr>
            <w:tcW w:w="1718" w:type="dxa"/>
            <w:shd w:val="clear" w:color="auto" w:fill="auto"/>
          </w:tcPr>
          <w:p w14:paraId="3CD97D4A" w14:textId="77777777" w:rsidR="00935009" w:rsidRDefault="00935009" w:rsidP="00935009">
            <w:pPr>
              <w:spacing w:after="0"/>
              <w:jc w:val="center"/>
              <w:rPr>
                <w:sz w:val="12"/>
                <w:szCs w:val="12"/>
              </w:rPr>
            </w:pPr>
            <w:r>
              <w:rPr>
                <w:sz w:val="12"/>
                <w:szCs w:val="12"/>
              </w:rPr>
              <w:t>5</w:t>
            </w:r>
          </w:p>
        </w:tc>
      </w:tr>
      <w:tr w:rsidR="00935009" w14:paraId="11A6FEC2" w14:textId="77777777" w:rsidTr="00227C6E">
        <w:trPr>
          <w:trHeight w:val="180"/>
        </w:trPr>
        <w:tc>
          <w:tcPr>
            <w:tcW w:w="2965" w:type="dxa"/>
            <w:shd w:val="clear" w:color="auto" w:fill="auto"/>
          </w:tcPr>
          <w:p w14:paraId="1892E1E5" w14:textId="77777777" w:rsidR="00935009" w:rsidRDefault="00935009" w:rsidP="00935009">
            <w:pPr>
              <w:spacing w:after="0"/>
              <w:rPr>
                <w:sz w:val="12"/>
                <w:szCs w:val="12"/>
              </w:rPr>
            </w:pPr>
            <w:r>
              <w:rPr>
                <w:sz w:val="12"/>
                <w:szCs w:val="12"/>
              </w:rPr>
              <w:t>Electrical Engineering, BS</w:t>
            </w:r>
          </w:p>
        </w:tc>
        <w:tc>
          <w:tcPr>
            <w:tcW w:w="1718" w:type="dxa"/>
            <w:shd w:val="clear" w:color="auto" w:fill="auto"/>
          </w:tcPr>
          <w:p w14:paraId="55F0CAF5" w14:textId="77777777" w:rsidR="00935009" w:rsidRDefault="00935009" w:rsidP="00935009">
            <w:pPr>
              <w:spacing w:after="0"/>
              <w:jc w:val="center"/>
              <w:rPr>
                <w:sz w:val="12"/>
                <w:szCs w:val="12"/>
              </w:rPr>
            </w:pPr>
            <w:r>
              <w:rPr>
                <w:sz w:val="12"/>
                <w:szCs w:val="12"/>
              </w:rPr>
              <w:t>7</w:t>
            </w:r>
          </w:p>
        </w:tc>
      </w:tr>
      <w:tr w:rsidR="00935009" w14:paraId="70968A0E" w14:textId="77777777" w:rsidTr="00227C6E">
        <w:trPr>
          <w:trHeight w:val="175"/>
        </w:trPr>
        <w:tc>
          <w:tcPr>
            <w:tcW w:w="2965" w:type="dxa"/>
            <w:shd w:val="clear" w:color="auto" w:fill="auto"/>
          </w:tcPr>
          <w:p w14:paraId="4E882594" w14:textId="77777777" w:rsidR="00935009" w:rsidRDefault="00935009" w:rsidP="00935009">
            <w:pPr>
              <w:spacing w:after="0"/>
              <w:rPr>
                <w:sz w:val="12"/>
                <w:szCs w:val="12"/>
              </w:rPr>
            </w:pPr>
            <w:r>
              <w:rPr>
                <w:sz w:val="12"/>
                <w:szCs w:val="12"/>
              </w:rPr>
              <w:t>Computer &amp; Engineering Science, MS</w:t>
            </w:r>
          </w:p>
        </w:tc>
        <w:tc>
          <w:tcPr>
            <w:tcW w:w="1718" w:type="dxa"/>
            <w:shd w:val="clear" w:color="auto" w:fill="auto"/>
          </w:tcPr>
          <w:p w14:paraId="58167515" w14:textId="77777777" w:rsidR="00935009" w:rsidRDefault="00935009" w:rsidP="00935009">
            <w:pPr>
              <w:spacing w:after="0"/>
              <w:jc w:val="center"/>
              <w:rPr>
                <w:sz w:val="12"/>
                <w:szCs w:val="12"/>
              </w:rPr>
            </w:pPr>
            <w:r>
              <w:rPr>
                <w:sz w:val="12"/>
                <w:szCs w:val="12"/>
              </w:rPr>
              <w:t>7</w:t>
            </w:r>
          </w:p>
        </w:tc>
      </w:tr>
      <w:tr w:rsidR="00935009" w14:paraId="469157A4" w14:textId="77777777" w:rsidTr="00227C6E">
        <w:trPr>
          <w:trHeight w:val="180"/>
        </w:trPr>
        <w:tc>
          <w:tcPr>
            <w:tcW w:w="2965" w:type="dxa"/>
            <w:shd w:val="clear" w:color="auto" w:fill="auto"/>
          </w:tcPr>
          <w:p w14:paraId="5A3B3CB6" w14:textId="77777777" w:rsidR="00935009" w:rsidRDefault="00935009" w:rsidP="00935009">
            <w:pPr>
              <w:spacing w:after="0"/>
              <w:rPr>
                <w:sz w:val="12"/>
                <w:szCs w:val="12"/>
              </w:rPr>
            </w:pPr>
            <w:r>
              <w:rPr>
                <w:sz w:val="12"/>
                <w:szCs w:val="12"/>
              </w:rPr>
              <w:t>Geology, BS</w:t>
            </w:r>
          </w:p>
        </w:tc>
        <w:tc>
          <w:tcPr>
            <w:tcW w:w="1718" w:type="dxa"/>
            <w:shd w:val="clear" w:color="auto" w:fill="auto"/>
          </w:tcPr>
          <w:p w14:paraId="2D94F540" w14:textId="77777777" w:rsidR="00935009" w:rsidRDefault="00935009" w:rsidP="00935009">
            <w:pPr>
              <w:spacing w:after="0"/>
              <w:jc w:val="center"/>
              <w:rPr>
                <w:sz w:val="12"/>
                <w:szCs w:val="12"/>
              </w:rPr>
            </w:pPr>
            <w:r>
              <w:rPr>
                <w:sz w:val="12"/>
                <w:szCs w:val="12"/>
              </w:rPr>
              <w:t>9</w:t>
            </w:r>
          </w:p>
        </w:tc>
      </w:tr>
      <w:tr w:rsidR="00935009" w14:paraId="68E0D678" w14:textId="77777777" w:rsidTr="00227C6E">
        <w:trPr>
          <w:trHeight w:val="180"/>
        </w:trPr>
        <w:tc>
          <w:tcPr>
            <w:tcW w:w="2965" w:type="dxa"/>
            <w:shd w:val="clear" w:color="auto" w:fill="auto"/>
          </w:tcPr>
          <w:p w14:paraId="50DBFBAE" w14:textId="77777777" w:rsidR="00935009" w:rsidRDefault="00935009" w:rsidP="00935009">
            <w:pPr>
              <w:spacing w:after="0"/>
              <w:rPr>
                <w:sz w:val="12"/>
                <w:szCs w:val="12"/>
              </w:rPr>
            </w:pPr>
            <w:r>
              <w:rPr>
                <w:sz w:val="12"/>
                <w:szCs w:val="12"/>
              </w:rPr>
              <w:t>Earth Science, BA</w:t>
            </w:r>
          </w:p>
        </w:tc>
        <w:tc>
          <w:tcPr>
            <w:tcW w:w="1718" w:type="dxa"/>
            <w:shd w:val="clear" w:color="auto" w:fill="auto"/>
          </w:tcPr>
          <w:p w14:paraId="22531888" w14:textId="77777777" w:rsidR="00935009" w:rsidRDefault="00935009" w:rsidP="00935009">
            <w:pPr>
              <w:spacing w:after="0"/>
              <w:jc w:val="center"/>
              <w:rPr>
                <w:sz w:val="12"/>
                <w:szCs w:val="12"/>
              </w:rPr>
            </w:pPr>
            <w:r>
              <w:rPr>
                <w:sz w:val="12"/>
                <w:szCs w:val="12"/>
              </w:rPr>
              <w:t>9</w:t>
            </w:r>
          </w:p>
        </w:tc>
      </w:tr>
      <w:tr w:rsidR="00935009" w14:paraId="1F0FE5F8" w14:textId="77777777" w:rsidTr="00227C6E">
        <w:trPr>
          <w:trHeight w:val="175"/>
        </w:trPr>
        <w:tc>
          <w:tcPr>
            <w:tcW w:w="2965" w:type="dxa"/>
            <w:shd w:val="clear" w:color="auto" w:fill="auto"/>
          </w:tcPr>
          <w:p w14:paraId="1490BB39" w14:textId="77777777" w:rsidR="00935009" w:rsidRDefault="00935009" w:rsidP="00935009">
            <w:pPr>
              <w:spacing w:after="0"/>
              <w:rPr>
                <w:sz w:val="12"/>
                <w:szCs w:val="12"/>
              </w:rPr>
            </w:pPr>
            <w:r>
              <w:rPr>
                <w:sz w:val="12"/>
                <w:szCs w:val="12"/>
              </w:rPr>
              <w:t>Kinesiology, BS</w:t>
            </w:r>
          </w:p>
        </w:tc>
        <w:tc>
          <w:tcPr>
            <w:tcW w:w="1718" w:type="dxa"/>
            <w:shd w:val="clear" w:color="auto" w:fill="auto"/>
          </w:tcPr>
          <w:p w14:paraId="0F6B3654" w14:textId="77777777" w:rsidR="00935009" w:rsidRDefault="00935009" w:rsidP="00935009">
            <w:pPr>
              <w:spacing w:after="0"/>
              <w:jc w:val="center"/>
              <w:rPr>
                <w:sz w:val="12"/>
                <w:szCs w:val="12"/>
              </w:rPr>
            </w:pPr>
            <w:r>
              <w:rPr>
                <w:sz w:val="12"/>
                <w:szCs w:val="12"/>
              </w:rPr>
              <w:t>5</w:t>
            </w:r>
          </w:p>
        </w:tc>
      </w:tr>
      <w:tr w:rsidR="00935009" w14:paraId="2408BE17" w14:textId="77777777" w:rsidTr="00227C6E">
        <w:trPr>
          <w:trHeight w:val="180"/>
        </w:trPr>
        <w:tc>
          <w:tcPr>
            <w:tcW w:w="2965" w:type="dxa"/>
            <w:shd w:val="clear" w:color="auto" w:fill="auto"/>
          </w:tcPr>
          <w:p w14:paraId="3FF63070" w14:textId="77777777" w:rsidR="00935009" w:rsidRDefault="00935009" w:rsidP="00935009">
            <w:pPr>
              <w:spacing w:after="0"/>
              <w:rPr>
                <w:sz w:val="12"/>
                <w:szCs w:val="12"/>
              </w:rPr>
            </w:pPr>
            <w:r>
              <w:rPr>
                <w:sz w:val="12"/>
                <w:szCs w:val="12"/>
              </w:rPr>
              <w:t>Mathematics, BA/BS</w:t>
            </w:r>
          </w:p>
        </w:tc>
        <w:tc>
          <w:tcPr>
            <w:tcW w:w="1718" w:type="dxa"/>
            <w:shd w:val="clear" w:color="auto" w:fill="auto"/>
          </w:tcPr>
          <w:p w14:paraId="62AD0E41" w14:textId="77777777" w:rsidR="00935009" w:rsidRDefault="00935009" w:rsidP="00935009">
            <w:pPr>
              <w:spacing w:after="0"/>
              <w:jc w:val="center"/>
              <w:rPr>
                <w:sz w:val="12"/>
                <w:szCs w:val="12"/>
              </w:rPr>
            </w:pPr>
            <w:r>
              <w:rPr>
                <w:sz w:val="12"/>
                <w:szCs w:val="12"/>
              </w:rPr>
              <w:t>4/4</w:t>
            </w:r>
          </w:p>
        </w:tc>
      </w:tr>
      <w:tr w:rsidR="00935009" w14:paraId="14A4CBF5" w14:textId="77777777" w:rsidTr="00227C6E">
        <w:trPr>
          <w:trHeight w:val="175"/>
        </w:trPr>
        <w:tc>
          <w:tcPr>
            <w:tcW w:w="2965" w:type="dxa"/>
            <w:shd w:val="clear" w:color="auto" w:fill="auto"/>
          </w:tcPr>
          <w:p w14:paraId="7E713019" w14:textId="77777777" w:rsidR="00935009" w:rsidRDefault="00935009" w:rsidP="00935009">
            <w:pPr>
              <w:spacing w:after="0"/>
              <w:rPr>
                <w:sz w:val="12"/>
                <w:szCs w:val="12"/>
              </w:rPr>
            </w:pPr>
            <w:r>
              <w:rPr>
                <w:sz w:val="12"/>
                <w:szCs w:val="12"/>
              </w:rPr>
              <w:t>Statistics, BS</w:t>
            </w:r>
          </w:p>
        </w:tc>
        <w:tc>
          <w:tcPr>
            <w:tcW w:w="1718" w:type="dxa"/>
            <w:shd w:val="clear" w:color="auto" w:fill="auto"/>
          </w:tcPr>
          <w:p w14:paraId="574F34AE" w14:textId="77777777" w:rsidR="00935009" w:rsidRDefault="00935009" w:rsidP="00935009">
            <w:pPr>
              <w:spacing w:after="0"/>
              <w:jc w:val="center"/>
              <w:rPr>
                <w:sz w:val="12"/>
                <w:szCs w:val="12"/>
              </w:rPr>
            </w:pPr>
            <w:r>
              <w:rPr>
                <w:sz w:val="12"/>
                <w:szCs w:val="12"/>
              </w:rPr>
              <w:t>12</w:t>
            </w:r>
          </w:p>
        </w:tc>
      </w:tr>
      <w:tr w:rsidR="00935009" w14:paraId="0A292B12" w14:textId="77777777" w:rsidTr="00227C6E">
        <w:trPr>
          <w:trHeight w:val="180"/>
        </w:trPr>
        <w:tc>
          <w:tcPr>
            <w:tcW w:w="2965" w:type="dxa"/>
            <w:shd w:val="clear" w:color="auto" w:fill="auto"/>
          </w:tcPr>
          <w:p w14:paraId="11313A31" w14:textId="77777777" w:rsidR="00935009" w:rsidRDefault="00935009" w:rsidP="00935009">
            <w:pPr>
              <w:spacing w:after="0"/>
              <w:rPr>
                <w:sz w:val="12"/>
                <w:szCs w:val="12"/>
              </w:rPr>
            </w:pPr>
            <w:r>
              <w:rPr>
                <w:sz w:val="12"/>
                <w:szCs w:val="12"/>
              </w:rPr>
              <w:t>Applied Statistics, BA</w:t>
            </w:r>
          </w:p>
        </w:tc>
        <w:tc>
          <w:tcPr>
            <w:tcW w:w="1718" w:type="dxa"/>
            <w:shd w:val="clear" w:color="auto" w:fill="auto"/>
          </w:tcPr>
          <w:p w14:paraId="28922884" w14:textId="77777777" w:rsidR="00935009" w:rsidRDefault="00935009" w:rsidP="00935009">
            <w:pPr>
              <w:spacing w:after="0"/>
              <w:jc w:val="center"/>
              <w:rPr>
                <w:sz w:val="12"/>
                <w:szCs w:val="12"/>
              </w:rPr>
            </w:pPr>
            <w:r>
              <w:rPr>
                <w:sz w:val="12"/>
                <w:szCs w:val="12"/>
              </w:rPr>
              <w:t>9</w:t>
            </w:r>
          </w:p>
        </w:tc>
      </w:tr>
      <w:tr w:rsidR="00935009" w14:paraId="6003F803" w14:textId="77777777" w:rsidTr="00227C6E">
        <w:trPr>
          <w:trHeight w:val="175"/>
        </w:trPr>
        <w:tc>
          <w:tcPr>
            <w:tcW w:w="2965" w:type="dxa"/>
            <w:shd w:val="clear" w:color="auto" w:fill="auto"/>
          </w:tcPr>
          <w:p w14:paraId="68660038" w14:textId="77777777" w:rsidR="00935009" w:rsidRDefault="00935009" w:rsidP="00935009">
            <w:pPr>
              <w:spacing w:after="0"/>
              <w:rPr>
                <w:sz w:val="12"/>
                <w:szCs w:val="12"/>
              </w:rPr>
            </w:pPr>
            <w:r>
              <w:rPr>
                <w:sz w:val="12"/>
                <w:szCs w:val="12"/>
              </w:rPr>
              <w:t>Nursing, BSN</w:t>
            </w:r>
          </w:p>
        </w:tc>
        <w:tc>
          <w:tcPr>
            <w:tcW w:w="1718" w:type="dxa"/>
            <w:shd w:val="clear" w:color="auto" w:fill="auto"/>
          </w:tcPr>
          <w:p w14:paraId="2C234467" w14:textId="77777777" w:rsidR="00935009" w:rsidRDefault="00935009" w:rsidP="00935009">
            <w:pPr>
              <w:spacing w:after="0"/>
              <w:jc w:val="center"/>
              <w:rPr>
                <w:sz w:val="12"/>
                <w:szCs w:val="12"/>
              </w:rPr>
            </w:pPr>
            <w:r>
              <w:rPr>
                <w:sz w:val="12"/>
                <w:szCs w:val="12"/>
              </w:rPr>
              <w:t>8</w:t>
            </w:r>
          </w:p>
        </w:tc>
      </w:tr>
      <w:tr w:rsidR="00935009" w14:paraId="42A4CFB2" w14:textId="77777777" w:rsidTr="00227C6E">
        <w:trPr>
          <w:trHeight w:val="180"/>
        </w:trPr>
        <w:tc>
          <w:tcPr>
            <w:tcW w:w="2965" w:type="dxa"/>
            <w:shd w:val="clear" w:color="auto" w:fill="auto"/>
          </w:tcPr>
          <w:p w14:paraId="134E67B4" w14:textId="77777777" w:rsidR="00935009" w:rsidRDefault="00935009" w:rsidP="00935009">
            <w:pPr>
              <w:spacing w:after="0"/>
              <w:rPr>
                <w:sz w:val="12"/>
                <w:szCs w:val="12"/>
              </w:rPr>
            </w:pPr>
            <w:r>
              <w:rPr>
                <w:sz w:val="12"/>
                <w:szCs w:val="12"/>
              </w:rPr>
              <w:t>Nursing, MSN</w:t>
            </w:r>
          </w:p>
        </w:tc>
        <w:tc>
          <w:tcPr>
            <w:tcW w:w="1718" w:type="dxa"/>
            <w:shd w:val="clear" w:color="auto" w:fill="auto"/>
          </w:tcPr>
          <w:p w14:paraId="41ED2B59" w14:textId="77777777" w:rsidR="00935009" w:rsidRDefault="00935009" w:rsidP="00935009">
            <w:pPr>
              <w:spacing w:after="0"/>
              <w:jc w:val="center"/>
              <w:rPr>
                <w:sz w:val="12"/>
                <w:szCs w:val="12"/>
              </w:rPr>
            </w:pPr>
            <w:r>
              <w:rPr>
                <w:sz w:val="12"/>
                <w:szCs w:val="12"/>
              </w:rPr>
              <w:t>8</w:t>
            </w:r>
          </w:p>
        </w:tc>
      </w:tr>
      <w:tr w:rsidR="00935009" w14:paraId="4D99D8E1" w14:textId="77777777" w:rsidTr="00227C6E">
        <w:trPr>
          <w:trHeight w:val="180"/>
        </w:trPr>
        <w:tc>
          <w:tcPr>
            <w:tcW w:w="2965" w:type="dxa"/>
            <w:shd w:val="clear" w:color="auto" w:fill="auto"/>
          </w:tcPr>
          <w:p w14:paraId="47C0BBC0" w14:textId="77777777" w:rsidR="00935009" w:rsidRDefault="00935009" w:rsidP="00935009">
            <w:pPr>
              <w:spacing w:after="0"/>
              <w:rPr>
                <w:sz w:val="12"/>
                <w:szCs w:val="12"/>
              </w:rPr>
            </w:pPr>
            <w:r>
              <w:rPr>
                <w:sz w:val="12"/>
                <w:szCs w:val="12"/>
              </w:rPr>
              <w:t>Physics, BA/BS</w:t>
            </w:r>
          </w:p>
        </w:tc>
        <w:tc>
          <w:tcPr>
            <w:tcW w:w="1718" w:type="dxa"/>
            <w:shd w:val="clear" w:color="auto" w:fill="auto"/>
          </w:tcPr>
          <w:p w14:paraId="47EF97A8" w14:textId="77777777" w:rsidR="00935009" w:rsidRDefault="00935009" w:rsidP="00935009">
            <w:pPr>
              <w:spacing w:after="0"/>
              <w:jc w:val="center"/>
              <w:rPr>
                <w:sz w:val="12"/>
                <w:szCs w:val="12"/>
              </w:rPr>
            </w:pPr>
            <w:r>
              <w:rPr>
                <w:sz w:val="12"/>
                <w:szCs w:val="12"/>
              </w:rPr>
              <w:t>6/6</w:t>
            </w:r>
          </w:p>
        </w:tc>
      </w:tr>
      <w:tr w:rsidR="00935009" w14:paraId="0EC7E516" w14:textId="77777777" w:rsidTr="00227C6E">
        <w:trPr>
          <w:trHeight w:val="213"/>
        </w:trPr>
        <w:tc>
          <w:tcPr>
            <w:tcW w:w="4683" w:type="dxa"/>
            <w:gridSpan w:val="2"/>
            <w:shd w:val="clear" w:color="auto" w:fill="BFBFBF"/>
            <w:vAlign w:val="center"/>
          </w:tcPr>
          <w:p w14:paraId="22220934" w14:textId="77777777" w:rsidR="00935009" w:rsidRDefault="00935009" w:rsidP="00935009">
            <w:pPr>
              <w:spacing w:after="0"/>
              <w:rPr>
                <w:sz w:val="12"/>
                <w:szCs w:val="12"/>
              </w:rPr>
            </w:pPr>
            <w:r>
              <w:rPr>
                <w:b/>
                <w:sz w:val="12"/>
                <w:szCs w:val="12"/>
              </w:rPr>
              <w:t>School of Social Sciences</w:t>
            </w:r>
          </w:p>
        </w:tc>
      </w:tr>
      <w:tr w:rsidR="00935009" w14:paraId="6B5477AE" w14:textId="77777777" w:rsidTr="00227C6E">
        <w:trPr>
          <w:trHeight w:val="175"/>
        </w:trPr>
        <w:tc>
          <w:tcPr>
            <w:tcW w:w="2965" w:type="dxa"/>
            <w:shd w:val="clear" w:color="auto" w:fill="auto"/>
          </w:tcPr>
          <w:p w14:paraId="25AC44A0" w14:textId="77777777" w:rsidR="00935009" w:rsidRDefault="00935009" w:rsidP="00935009">
            <w:pPr>
              <w:spacing w:after="0"/>
              <w:rPr>
                <w:b/>
                <w:sz w:val="12"/>
                <w:szCs w:val="12"/>
              </w:rPr>
            </w:pPr>
            <w:r>
              <w:rPr>
                <w:sz w:val="12"/>
                <w:szCs w:val="12"/>
              </w:rPr>
              <w:t>Anthropology, BA</w:t>
            </w:r>
          </w:p>
        </w:tc>
        <w:tc>
          <w:tcPr>
            <w:tcW w:w="1718" w:type="dxa"/>
            <w:shd w:val="clear" w:color="auto" w:fill="auto"/>
          </w:tcPr>
          <w:p w14:paraId="5CD17A7A" w14:textId="77777777" w:rsidR="00935009" w:rsidRDefault="00935009" w:rsidP="00935009">
            <w:pPr>
              <w:spacing w:after="0"/>
              <w:jc w:val="center"/>
              <w:rPr>
                <w:sz w:val="12"/>
                <w:szCs w:val="12"/>
              </w:rPr>
            </w:pPr>
            <w:r>
              <w:rPr>
                <w:sz w:val="12"/>
                <w:szCs w:val="12"/>
              </w:rPr>
              <w:t>6</w:t>
            </w:r>
          </w:p>
        </w:tc>
      </w:tr>
      <w:tr w:rsidR="00935009" w14:paraId="2E6421CE" w14:textId="77777777" w:rsidTr="00227C6E">
        <w:trPr>
          <w:trHeight w:val="180"/>
        </w:trPr>
        <w:tc>
          <w:tcPr>
            <w:tcW w:w="2965" w:type="dxa"/>
            <w:shd w:val="clear" w:color="auto" w:fill="auto"/>
          </w:tcPr>
          <w:p w14:paraId="2280347D" w14:textId="77777777" w:rsidR="00935009" w:rsidRDefault="00935009" w:rsidP="00935009">
            <w:pPr>
              <w:spacing w:after="0"/>
              <w:rPr>
                <w:sz w:val="12"/>
                <w:szCs w:val="12"/>
              </w:rPr>
            </w:pPr>
            <w:r>
              <w:rPr>
                <w:sz w:val="12"/>
                <w:szCs w:val="12"/>
              </w:rPr>
              <w:t>Counseling, MA</w:t>
            </w:r>
          </w:p>
        </w:tc>
        <w:tc>
          <w:tcPr>
            <w:tcW w:w="1718" w:type="dxa"/>
            <w:shd w:val="clear" w:color="auto" w:fill="auto"/>
          </w:tcPr>
          <w:p w14:paraId="2B6A7701" w14:textId="77777777" w:rsidR="00935009" w:rsidRDefault="00935009" w:rsidP="00935009">
            <w:pPr>
              <w:spacing w:after="0"/>
              <w:jc w:val="center"/>
              <w:rPr>
                <w:sz w:val="12"/>
                <w:szCs w:val="12"/>
              </w:rPr>
            </w:pPr>
            <w:r>
              <w:rPr>
                <w:sz w:val="12"/>
                <w:szCs w:val="12"/>
              </w:rPr>
              <w:t>13 CMHC and 15 for SC</w:t>
            </w:r>
          </w:p>
        </w:tc>
      </w:tr>
      <w:tr w:rsidR="00935009" w14:paraId="6A30CEE0" w14:textId="77777777" w:rsidTr="00227C6E">
        <w:trPr>
          <w:trHeight w:val="180"/>
        </w:trPr>
        <w:tc>
          <w:tcPr>
            <w:tcW w:w="2965" w:type="dxa"/>
            <w:shd w:val="clear" w:color="auto" w:fill="auto"/>
          </w:tcPr>
          <w:p w14:paraId="52719767" w14:textId="77777777" w:rsidR="00935009" w:rsidRDefault="00935009" w:rsidP="00935009">
            <w:pPr>
              <w:spacing w:after="0"/>
              <w:rPr>
                <w:sz w:val="12"/>
                <w:szCs w:val="12"/>
              </w:rPr>
            </w:pPr>
            <w:r>
              <w:rPr>
                <w:sz w:val="12"/>
                <w:szCs w:val="12"/>
              </w:rPr>
              <w:t>CCJS, BA</w:t>
            </w:r>
          </w:p>
        </w:tc>
        <w:tc>
          <w:tcPr>
            <w:tcW w:w="1718" w:type="dxa"/>
            <w:shd w:val="clear" w:color="auto" w:fill="auto"/>
          </w:tcPr>
          <w:p w14:paraId="6ACA33C4" w14:textId="77777777" w:rsidR="00935009" w:rsidRDefault="00935009" w:rsidP="00935009">
            <w:pPr>
              <w:spacing w:after="0"/>
              <w:jc w:val="center"/>
              <w:rPr>
                <w:sz w:val="12"/>
                <w:szCs w:val="12"/>
              </w:rPr>
            </w:pPr>
            <w:r>
              <w:rPr>
                <w:sz w:val="12"/>
                <w:szCs w:val="12"/>
              </w:rPr>
              <w:t>5</w:t>
            </w:r>
          </w:p>
        </w:tc>
      </w:tr>
      <w:tr w:rsidR="00935009" w14:paraId="478705DA" w14:textId="77777777" w:rsidTr="00227C6E">
        <w:trPr>
          <w:trHeight w:val="175"/>
        </w:trPr>
        <w:tc>
          <w:tcPr>
            <w:tcW w:w="2965" w:type="dxa"/>
            <w:shd w:val="clear" w:color="auto" w:fill="auto"/>
          </w:tcPr>
          <w:p w14:paraId="6D7D5E22" w14:textId="77777777" w:rsidR="00935009" w:rsidRDefault="00935009" w:rsidP="00935009">
            <w:pPr>
              <w:spacing w:after="0"/>
              <w:rPr>
                <w:sz w:val="12"/>
                <w:szCs w:val="12"/>
              </w:rPr>
            </w:pPr>
            <w:r>
              <w:rPr>
                <w:sz w:val="12"/>
                <w:szCs w:val="12"/>
              </w:rPr>
              <w:t>Cultural Resource Management, MA</w:t>
            </w:r>
          </w:p>
        </w:tc>
        <w:tc>
          <w:tcPr>
            <w:tcW w:w="1718" w:type="dxa"/>
            <w:shd w:val="clear" w:color="auto" w:fill="auto"/>
          </w:tcPr>
          <w:p w14:paraId="7D913ABB" w14:textId="77777777" w:rsidR="00935009" w:rsidRDefault="00935009" w:rsidP="00935009">
            <w:pPr>
              <w:spacing w:after="0"/>
              <w:jc w:val="center"/>
              <w:rPr>
                <w:sz w:val="12"/>
                <w:szCs w:val="12"/>
              </w:rPr>
            </w:pPr>
            <w:r>
              <w:rPr>
                <w:sz w:val="12"/>
                <w:szCs w:val="12"/>
              </w:rPr>
              <w:t>11</w:t>
            </w:r>
          </w:p>
        </w:tc>
      </w:tr>
      <w:tr w:rsidR="00935009" w14:paraId="190F04B4" w14:textId="77777777" w:rsidTr="00227C6E">
        <w:trPr>
          <w:trHeight w:val="180"/>
        </w:trPr>
        <w:tc>
          <w:tcPr>
            <w:tcW w:w="2965" w:type="dxa"/>
            <w:shd w:val="clear" w:color="auto" w:fill="auto"/>
          </w:tcPr>
          <w:p w14:paraId="21F86805" w14:textId="77777777" w:rsidR="00935009" w:rsidRDefault="00935009" w:rsidP="00935009">
            <w:pPr>
              <w:spacing w:after="0"/>
              <w:rPr>
                <w:sz w:val="12"/>
                <w:szCs w:val="12"/>
              </w:rPr>
            </w:pPr>
            <w:r>
              <w:rPr>
                <w:sz w:val="12"/>
                <w:szCs w:val="12"/>
              </w:rPr>
              <w:t>Geography &amp; Environment, BA</w:t>
            </w:r>
          </w:p>
        </w:tc>
        <w:tc>
          <w:tcPr>
            <w:tcW w:w="1718" w:type="dxa"/>
            <w:shd w:val="clear" w:color="auto" w:fill="auto"/>
          </w:tcPr>
          <w:p w14:paraId="51BB49E7" w14:textId="77777777" w:rsidR="00935009" w:rsidRDefault="00935009" w:rsidP="00935009">
            <w:pPr>
              <w:spacing w:after="0"/>
              <w:jc w:val="center"/>
              <w:rPr>
                <w:sz w:val="12"/>
                <w:szCs w:val="12"/>
              </w:rPr>
            </w:pPr>
            <w:r>
              <w:rPr>
                <w:sz w:val="12"/>
                <w:szCs w:val="12"/>
              </w:rPr>
              <w:t>4</w:t>
            </w:r>
          </w:p>
        </w:tc>
      </w:tr>
      <w:tr w:rsidR="00935009" w14:paraId="526EF0F5" w14:textId="77777777" w:rsidTr="00227C6E">
        <w:trPr>
          <w:trHeight w:val="180"/>
        </w:trPr>
        <w:tc>
          <w:tcPr>
            <w:tcW w:w="2965" w:type="dxa"/>
            <w:shd w:val="clear" w:color="auto" w:fill="auto"/>
          </w:tcPr>
          <w:p w14:paraId="70342270" w14:textId="77777777" w:rsidR="00935009" w:rsidRDefault="00935009" w:rsidP="00935009">
            <w:pPr>
              <w:spacing w:after="0"/>
              <w:rPr>
                <w:sz w:val="12"/>
                <w:szCs w:val="12"/>
              </w:rPr>
            </w:pPr>
            <w:r>
              <w:rPr>
                <w:sz w:val="12"/>
                <w:szCs w:val="12"/>
              </w:rPr>
              <w:t>Environmental Studies, BS</w:t>
            </w:r>
          </w:p>
        </w:tc>
        <w:tc>
          <w:tcPr>
            <w:tcW w:w="1718" w:type="dxa"/>
            <w:shd w:val="clear" w:color="auto" w:fill="auto"/>
          </w:tcPr>
          <w:p w14:paraId="1B1A139B" w14:textId="77777777" w:rsidR="00935009" w:rsidRDefault="00935009" w:rsidP="00935009">
            <w:pPr>
              <w:spacing w:after="0"/>
              <w:jc w:val="center"/>
              <w:rPr>
                <w:sz w:val="12"/>
                <w:szCs w:val="12"/>
              </w:rPr>
            </w:pPr>
            <w:r>
              <w:rPr>
                <w:sz w:val="12"/>
                <w:szCs w:val="12"/>
              </w:rPr>
              <w:t>4</w:t>
            </w:r>
          </w:p>
        </w:tc>
      </w:tr>
      <w:tr w:rsidR="00935009" w14:paraId="2E5537C4" w14:textId="77777777" w:rsidTr="00227C6E">
        <w:trPr>
          <w:trHeight w:val="175"/>
        </w:trPr>
        <w:tc>
          <w:tcPr>
            <w:tcW w:w="2965" w:type="dxa"/>
            <w:shd w:val="clear" w:color="auto" w:fill="auto"/>
          </w:tcPr>
          <w:p w14:paraId="051EC412" w14:textId="77777777" w:rsidR="00935009" w:rsidRDefault="00935009" w:rsidP="00935009">
            <w:pPr>
              <w:spacing w:after="0"/>
              <w:rPr>
                <w:sz w:val="12"/>
                <w:szCs w:val="12"/>
              </w:rPr>
            </w:pPr>
            <w:r>
              <w:rPr>
                <w:sz w:val="12"/>
                <w:szCs w:val="12"/>
              </w:rPr>
              <w:t>Global Studies, BA</w:t>
            </w:r>
          </w:p>
        </w:tc>
        <w:tc>
          <w:tcPr>
            <w:tcW w:w="1718" w:type="dxa"/>
            <w:shd w:val="clear" w:color="auto" w:fill="auto"/>
          </w:tcPr>
          <w:p w14:paraId="08548A95" w14:textId="77777777" w:rsidR="00935009" w:rsidRDefault="00935009" w:rsidP="00935009">
            <w:pPr>
              <w:spacing w:after="0"/>
              <w:jc w:val="center"/>
              <w:rPr>
                <w:sz w:val="12"/>
                <w:szCs w:val="12"/>
              </w:rPr>
            </w:pPr>
            <w:r>
              <w:rPr>
                <w:sz w:val="12"/>
                <w:szCs w:val="12"/>
              </w:rPr>
              <w:t>4</w:t>
            </w:r>
          </w:p>
        </w:tc>
      </w:tr>
      <w:tr w:rsidR="00935009" w14:paraId="447059F3" w14:textId="77777777" w:rsidTr="00227C6E">
        <w:trPr>
          <w:trHeight w:val="180"/>
        </w:trPr>
        <w:tc>
          <w:tcPr>
            <w:tcW w:w="2965" w:type="dxa"/>
            <w:shd w:val="clear" w:color="auto" w:fill="auto"/>
          </w:tcPr>
          <w:p w14:paraId="1649388A" w14:textId="77777777" w:rsidR="00935009" w:rsidRDefault="00935009" w:rsidP="00935009">
            <w:pPr>
              <w:spacing w:after="0"/>
              <w:rPr>
                <w:sz w:val="12"/>
                <w:szCs w:val="12"/>
              </w:rPr>
            </w:pPr>
            <w:r>
              <w:rPr>
                <w:sz w:val="12"/>
                <w:szCs w:val="12"/>
              </w:rPr>
              <w:t>History, BA</w:t>
            </w:r>
          </w:p>
        </w:tc>
        <w:tc>
          <w:tcPr>
            <w:tcW w:w="1718" w:type="dxa"/>
            <w:shd w:val="clear" w:color="auto" w:fill="auto"/>
          </w:tcPr>
          <w:p w14:paraId="120AD3E9" w14:textId="77777777" w:rsidR="00935009" w:rsidRDefault="00935009" w:rsidP="00935009">
            <w:pPr>
              <w:spacing w:after="0"/>
              <w:jc w:val="center"/>
              <w:rPr>
                <w:sz w:val="12"/>
                <w:szCs w:val="12"/>
              </w:rPr>
            </w:pPr>
            <w:r>
              <w:rPr>
                <w:sz w:val="12"/>
                <w:szCs w:val="12"/>
              </w:rPr>
              <w:t>5</w:t>
            </w:r>
          </w:p>
        </w:tc>
      </w:tr>
      <w:tr w:rsidR="00935009" w14:paraId="63CAE593" w14:textId="77777777" w:rsidTr="00227C6E">
        <w:trPr>
          <w:trHeight w:val="175"/>
        </w:trPr>
        <w:tc>
          <w:tcPr>
            <w:tcW w:w="2965" w:type="dxa"/>
            <w:shd w:val="clear" w:color="auto" w:fill="auto"/>
          </w:tcPr>
          <w:p w14:paraId="2537A3FC" w14:textId="77777777" w:rsidR="00935009" w:rsidRDefault="00935009" w:rsidP="00935009">
            <w:pPr>
              <w:spacing w:after="0"/>
              <w:rPr>
                <w:sz w:val="12"/>
                <w:szCs w:val="12"/>
              </w:rPr>
            </w:pPr>
            <w:r>
              <w:rPr>
                <w:sz w:val="12"/>
                <w:szCs w:val="12"/>
              </w:rPr>
              <w:t>History, MA</w:t>
            </w:r>
          </w:p>
        </w:tc>
        <w:tc>
          <w:tcPr>
            <w:tcW w:w="1718" w:type="dxa"/>
            <w:shd w:val="clear" w:color="auto" w:fill="auto"/>
          </w:tcPr>
          <w:p w14:paraId="629AB2D1" w14:textId="77777777" w:rsidR="00935009" w:rsidRDefault="00935009" w:rsidP="00935009">
            <w:pPr>
              <w:spacing w:after="0"/>
              <w:jc w:val="center"/>
              <w:rPr>
                <w:sz w:val="12"/>
                <w:szCs w:val="12"/>
              </w:rPr>
            </w:pPr>
            <w:r>
              <w:rPr>
                <w:sz w:val="12"/>
                <w:szCs w:val="12"/>
              </w:rPr>
              <w:t>5</w:t>
            </w:r>
          </w:p>
        </w:tc>
      </w:tr>
      <w:tr w:rsidR="00935009" w14:paraId="5896A336" w14:textId="77777777" w:rsidTr="00227C6E">
        <w:trPr>
          <w:trHeight w:val="180"/>
        </w:trPr>
        <w:tc>
          <w:tcPr>
            <w:tcW w:w="2965" w:type="dxa"/>
            <w:shd w:val="clear" w:color="auto" w:fill="auto"/>
          </w:tcPr>
          <w:p w14:paraId="79D61696" w14:textId="77777777" w:rsidR="00935009" w:rsidRDefault="00935009" w:rsidP="00935009">
            <w:pPr>
              <w:spacing w:after="0"/>
              <w:rPr>
                <w:sz w:val="12"/>
                <w:szCs w:val="12"/>
              </w:rPr>
            </w:pPr>
            <w:r>
              <w:rPr>
                <w:sz w:val="12"/>
                <w:szCs w:val="12"/>
              </w:rPr>
              <w:t>Human Development, BA</w:t>
            </w:r>
          </w:p>
        </w:tc>
        <w:tc>
          <w:tcPr>
            <w:tcW w:w="1718" w:type="dxa"/>
            <w:shd w:val="clear" w:color="auto" w:fill="auto"/>
          </w:tcPr>
          <w:p w14:paraId="252D5EB2" w14:textId="77777777" w:rsidR="00935009" w:rsidRDefault="00935009" w:rsidP="00935009">
            <w:pPr>
              <w:spacing w:after="0"/>
              <w:jc w:val="center"/>
              <w:rPr>
                <w:sz w:val="12"/>
                <w:szCs w:val="12"/>
              </w:rPr>
            </w:pPr>
            <w:r>
              <w:rPr>
                <w:sz w:val="12"/>
                <w:szCs w:val="12"/>
              </w:rPr>
              <w:t>5</w:t>
            </w:r>
          </w:p>
        </w:tc>
      </w:tr>
      <w:tr w:rsidR="00935009" w14:paraId="693F88F9" w14:textId="77777777" w:rsidTr="00227C6E">
        <w:trPr>
          <w:trHeight w:val="175"/>
        </w:trPr>
        <w:tc>
          <w:tcPr>
            <w:tcW w:w="2965" w:type="dxa"/>
            <w:shd w:val="clear" w:color="auto" w:fill="auto"/>
          </w:tcPr>
          <w:p w14:paraId="26003293" w14:textId="77777777" w:rsidR="00935009" w:rsidRDefault="00935009" w:rsidP="00935009">
            <w:pPr>
              <w:spacing w:after="0"/>
              <w:rPr>
                <w:sz w:val="12"/>
                <w:szCs w:val="12"/>
              </w:rPr>
            </w:pPr>
            <w:r>
              <w:rPr>
                <w:sz w:val="12"/>
                <w:szCs w:val="12"/>
              </w:rPr>
              <w:t>Master’s in Public Administration</w:t>
            </w:r>
          </w:p>
        </w:tc>
        <w:tc>
          <w:tcPr>
            <w:tcW w:w="1718" w:type="dxa"/>
            <w:shd w:val="clear" w:color="auto" w:fill="auto"/>
          </w:tcPr>
          <w:p w14:paraId="70A0F0B7" w14:textId="77777777" w:rsidR="00935009" w:rsidRDefault="00935009" w:rsidP="00935009">
            <w:pPr>
              <w:spacing w:after="0"/>
              <w:jc w:val="center"/>
              <w:rPr>
                <w:sz w:val="12"/>
                <w:szCs w:val="12"/>
              </w:rPr>
            </w:pPr>
            <w:r>
              <w:rPr>
                <w:sz w:val="12"/>
                <w:szCs w:val="12"/>
              </w:rPr>
              <w:t>5</w:t>
            </w:r>
          </w:p>
        </w:tc>
      </w:tr>
      <w:tr w:rsidR="00935009" w14:paraId="0BAA9DB2" w14:textId="77777777" w:rsidTr="00227C6E">
        <w:trPr>
          <w:trHeight w:val="175"/>
        </w:trPr>
        <w:tc>
          <w:tcPr>
            <w:tcW w:w="2965" w:type="dxa"/>
            <w:shd w:val="clear" w:color="auto" w:fill="auto"/>
          </w:tcPr>
          <w:p w14:paraId="4576B942" w14:textId="77777777" w:rsidR="00935009" w:rsidRDefault="00935009" w:rsidP="00935009">
            <w:pPr>
              <w:spacing w:after="0"/>
              <w:rPr>
                <w:sz w:val="12"/>
                <w:szCs w:val="12"/>
              </w:rPr>
            </w:pPr>
            <w:r>
              <w:rPr>
                <w:sz w:val="12"/>
                <w:szCs w:val="12"/>
              </w:rPr>
              <w:t>Political Science, BA</w:t>
            </w:r>
          </w:p>
        </w:tc>
        <w:tc>
          <w:tcPr>
            <w:tcW w:w="1718" w:type="dxa"/>
            <w:shd w:val="clear" w:color="auto" w:fill="auto"/>
          </w:tcPr>
          <w:p w14:paraId="76ADFC07" w14:textId="77777777" w:rsidR="00935009" w:rsidRDefault="00935009" w:rsidP="00935009">
            <w:pPr>
              <w:spacing w:after="0"/>
              <w:jc w:val="center"/>
              <w:rPr>
                <w:sz w:val="12"/>
                <w:szCs w:val="12"/>
              </w:rPr>
            </w:pPr>
            <w:r>
              <w:rPr>
                <w:sz w:val="12"/>
                <w:szCs w:val="12"/>
              </w:rPr>
              <w:t>11</w:t>
            </w:r>
          </w:p>
        </w:tc>
      </w:tr>
      <w:tr w:rsidR="00935009" w14:paraId="7937869A" w14:textId="77777777" w:rsidTr="00227C6E">
        <w:trPr>
          <w:trHeight w:val="180"/>
        </w:trPr>
        <w:tc>
          <w:tcPr>
            <w:tcW w:w="2965" w:type="dxa"/>
            <w:shd w:val="clear" w:color="auto" w:fill="auto"/>
          </w:tcPr>
          <w:p w14:paraId="2B706099" w14:textId="77777777" w:rsidR="00935009" w:rsidRDefault="00935009" w:rsidP="00935009">
            <w:pPr>
              <w:spacing w:after="0"/>
              <w:rPr>
                <w:sz w:val="12"/>
                <w:szCs w:val="12"/>
              </w:rPr>
            </w:pPr>
            <w:r>
              <w:rPr>
                <w:sz w:val="12"/>
                <w:szCs w:val="12"/>
              </w:rPr>
              <w:t>Psychology, BA</w:t>
            </w:r>
          </w:p>
        </w:tc>
        <w:tc>
          <w:tcPr>
            <w:tcW w:w="1718" w:type="dxa"/>
            <w:shd w:val="clear" w:color="auto" w:fill="auto"/>
          </w:tcPr>
          <w:p w14:paraId="1136AA7F" w14:textId="77777777" w:rsidR="00935009" w:rsidRDefault="00935009" w:rsidP="00935009">
            <w:pPr>
              <w:spacing w:after="0"/>
              <w:jc w:val="center"/>
              <w:rPr>
                <w:sz w:val="12"/>
                <w:szCs w:val="12"/>
              </w:rPr>
            </w:pPr>
            <w:r>
              <w:rPr>
                <w:sz w:val="12"/>
                <w:szCs w:val="12"/>
              </w:rPr>
              <w:t>6</w:t>
            </w:r>
          </w:p>
        </w:tc>
      </w:tr>
      <w:tr w:rsidR="00935009" w14:paraId="7E97AFBD" w14:textId="77777777" w:rsidTr="00227C6E">
        <w:trPr>
          <w:trHeight w:val="180"/>
        </w:trPr>
        <w:tc>
          <w:tcPr>
            <w:tcW w:w="2965" w:type="dxa"/>
            <w:shd w:val="clear" w:color="auto" w:fill="auto"/>
          </w:tcPr>
          <w:p w14:paraId="6233B230" w14:textId="77777777" w:rsidR="00935009" w:rsidRDefault="00935009" w:rsidP="00935009">
            <w:pPr>
              <w:spacing w:after="0"/>
              <w:rPr>
                <w:sz w:val="12"/>
                <w:szCs w:val="12"/>
              </w:rPr>
            </w:pPr>
            <w:r>
              <w:rPr>
                <w:sz w:val="12"/>
                <w:szCs w:val="12"/>
              </w:rPr>
              <w:t>Psychology, MA (Depth)</w:t>
            </w:r>
          </w:p>
        </w:tc>
        <w:tc>
          <w:tcPr>
            <w:tcW w:w="1718" w:type="dxa"/>
            <w:shd w:val="clear" w:color="auto" w:fill="auto"/>
          </w:tcPr>
          <w:p w14:paraId="7447B92C" w14:textId="77777777" w:rsidR="00935009" w:rsidRDefault="00935009" w:rsidP="00935009">
            <w:pPr>
              <w:spacing w:after="0"/>
              <w:jc w:val="center"/>
              <w:rPr>
                <w:sz w:val="12"/>
                <w:szCs w:val="12"/>
              </w:rPr>
            </w:pPr>
            <w:r>
              <w:rPr>
                <w:sz w:val="12"/>
                <w:szCs w:val="12"/>
              </w:rPr>
              <w:t>22</w:t>
            </w:r>
          </w:p>
        </w:tc>
      </w:tr>
      <w:tr w:rsidR="00935009" w14:paraId="126A5181" w14:textId="77777777" w:rsidTr="00227C6E">
        <w:trPr>
          <w:trHeight w:val="180"/>
        </w:trPr>
        <w:tc>
          <w:tcPr>
            <w:tcW w:w="2965" w:type="dxa"/>
            <w:shd w:val="clear" w:color="auto" w:fill="auto"/>
          </w:tcPr>
          <w:p w14:paraId="1C3DCF16" w14:textId="77777777" w:rsidR="00935009" w:rsidRDefault="00935009" w:rsidP="00935009">
            <w:pPr>
              <w:spacing w:after="0"/>
              <w:rPr>
                <w:sz w:val="12"/>
                <w:szCs w:val="12"/>
              </w:rPr>
            </w:pPr>
            <w:r>
              <w:rPr>
                <w:sz w:val="12"/>
                <w:szCs w:val="12"/>
              </w:rPr>
              <w:t>Sociology, BA</w:t>
            </w:r>
          </w:p>
        </w:tc>
        <w:tc>
          <w:tcPr>
            <w:tcW w:w="1718" w:type="dxa"/>
            <w:shd w:val="clear" w:color="auto" w:fill="auto"/>
          </w:tcPr>
          <w:p w14:paraId="0A3E485A" w14:textId="77777777" w:rsidR="00935009" w:rsidRDefault="00935009" w:rsidP="00935009">
            <w:pPr>
              <w:spacing w:after="0"/>
              <w:jc w:val="center"/>
              <w:rPr>
                <w:sz w:val="12"/>
                <w:szCs w:val="12"/>
              </w:rPr>
            </w:pPr>
            <w:r>
              <w:rPr>
                <w:sz w:val="12"/>
                <w:szCs w:val="12"/>
              </w:rPr>
              <w:t>6</w:t>
            </w:r>
          </w:p>
        </w:tc>
      </w:tr>
      <w:tr w:rsidR="00935009" w14:paraId="5DDF7269" w14:textId="77777777" w:rsidTr="00227C6E">
        <w:trPr>
          <w:trHeight w:val="175"/>
        </w:trPr>
        <w:tc>
          <w:tcPr>
            <w:tcW w:w="2965" w:type="dxa"/>
            <w:shd w:val="clear" w:color="auto" w:fill="auto"/>
          </w:tcPr>
          <w:p w14:paraId="13C58D2B" w14:textId="77777777" w:rsidR="00935009" w:rsidRDefault="00935009" w:rsidP="00935009">
            <w:pPr>
              <w:spacing w:after="0"/>
              <w:rPr>
                <w:sz w:val="12"/>
                <w:szCs w:val="12"/>
              </w:rPr>
            </w:pPr>
            <w:r>
              <w:rPr>
                <w:sz w:val="12"/>
                <w:szCs w:val="12"/>
              </w:rPr>
              <w:t>Women’s and Gender Studies, BA</w:t>
            </w:r>
          </w:p>
        </w:tc>
        <w:tc>
          <w:tcPr>
            <w:tcW w:w="1718" w:type="dxa"/>
            <w:shd w:val="clear" w:color="auto" w:fill="auto"/>
          </w:tcPr>
          <w:p w14:paraId="1CC57327" w14:textId="77777777" w:rsidR="00935009" w:rsidRDefault="00935009" w:rsidP="00935009">
            <w:pPr>
              <w:spacing w:after="0"/>
              <w:jc w:val="center"/>
              <w:rPr>
                <w:sz w:val="12"/>
                <w:szCs w:val="12"/>
              </w:rPr>
            </w:pPr>
            <w:r>
              <w:rPr>
                <w:sz w:val="12"/>
                <w:szCs w:val="12"/>
              </w:rPr>
              <w:t>13</w:t>
            </w:r>
          </w:p>
        </w:tc>
      </w:tr>
      <w:tr w:rsidR="00935009" w14:paraId="70EAA310" w14:textId="77777777" w:rsidTr="00227C6E">
        <w:trPr>
          <w:trHeight w:val="231"/>
        </w:trPr>
        <w:tc>
          <w:tcPr>
            <w:tcW w:w="4683" w:type="dxa"/>
            <w:gridSpan w:val="2"/>
            <w:shd w:val="clear" w:color="auto" w:fill="BFBFBF"/>
            <w:vAlign w:val="center"/>
          </w:tcPr>
          <w:p w14:paraId="60351EC7" w14:textId="77777777" w:rsidR="00935009" w:rsidRDefault="00935009" w:rsidP="00935009">
            <w:pPr>
              <w:spacing w:after="0"/>
              <w:rPr>
                <w:sz w:val="12"/>
                <w:szCs w:val="12"/>
              </w:rPr>
            </w:pPr>
            <w:r>
              <w:rPr>
                <w:b/>
                <w:sz w:val="12"/>
                <w:szCs w:val="12"/>
              </w:rPr>
              <w:t>Other Degrees</w:t>
            </w:r>
          </w:p>
        </w:tc>
      </w:tr>
      <w:tr w:rsidR="00935009" w14:paraId="4051742A" w14:textId="77777777" w:rsidTr="00227C6E">
        <w:trPr>
          <w:trHeight w:val="175"/>
        </w:trPr>
        <w:tc>
          <w:tcPr>
            <w:tcW w:w="2965" w:type="dxa"/>
            <w:shd w:val="clear" w:color="auto" w:fill="auto"/>
          </w:tcPr>
          <w:p w14:paraId="747E96CB" w14:textId="77777777" w:rsidR="00935009" w:rsidRDefault="00935009" w:rsidP="00935009">
            <w:pPr>
              <w:spacing w:after="0"/>
              <w:rPr>
                <w:sz w:val="12"/>
                <w:szCs w:val="12"/>
              </w:rPr>
            </w:pPr>
            <w:r>
              <w:rPr>
                <w:sz w:val="12"/>
                <w:szCs w:val="12"/>
              </w:rPr>
              <w:t>Liberal Studies, BA (Ukiah-Napa-Solano)</w:t>
            </w:r>
          </w:p>
        </w:tc>
        <w:tc>
          <w:tcPr>
            <w:tcW w:w="1718" w:type="dxa"/>
            <w:shd w:val="clear" w:color="auto" w:fill="auto"/>
          </w:tcPr>
          <w:p w14:paraId="376BDEDC" w14:textId="77777777" w:rsidR="00935009" w:rsidRDefault="00935009" w:rsidP="00935009">
            <w:pPr>
              <w:spacing w:after="0"/>
              <w:jc w:val="center"/>
              <w:rPr>
                <w:sz w:val="12"/>
                <w:szCs w:val="12"/>
              </w:rPr>
            </w:pPr>
            <w:r>
              <w:rPr>
                <w:sz w:val="12"/>
                <w:szCs w:val="12"/>
              </w:rPr>
              <w:t>4</w:t>
            </w:r>
          </w:p>
        </w:tc>
      </w:tr>
      <w:tr w:rsidR="00935009" w14:paraId="78BEE0AC" w14:textId="77777777" w:rsidTr="00227C6E">
        <w:trPr>
          <w:trHeight w:val="175"/>
        </w:trPr>
        <w:tc>
          <w:tcPr>
            <w:tcW w:w="2965" w:type="dxa"/>
            <w:shd w:val="clear" w:color="auto" w:fill="auto"/>
          </w:tcPr>
          <w:p w14:paraId="0FE24BB9" w14:textId="77777777" w:rsidR="00935009" w:rsidRDefault="00935009" w:rsidP="00935009">
            <w:pPr>
              <w:spacing w:after="0"/>
              <w:rPr>
                <w:sz w:val="12"/>
                <w:szCs w:val="12"/>
              </w:rPr>
            </w:pPr>
            <w:r>
              <w:rPr>
                <w:sz w:val="12"/>
                <w:szCs w:val="12"/>
              </w:rPr>
              <w:t>Organization Development, MA</w:t>
            </w:r>
          </w:p>
        </w:tc>
        <w:tc>
          <w:tcPr>
            <w:tcW w:w="1718" w:type="dxa"/>
            <w:shd w:val="clear" w:color="auto" w:fill="auto"/>
          </w:tcPr>
          <w:p w14:paraId="777FB139" w14:textId="77777777" w:rsidR="00935009" w:rsidRDefault="00935009" w:rsidP="00935009">
            <w:pPr>
              <w:spacing w:after="0"/>
              <w:jc w:val="center"/>
              <w:rPr>
                <w:sz w:val="12"/>
                <w:szCs w:val="12"/>
              </w:rPr>
            </w:pPr>
            <w:r>
              <w:rPr>
                <w:sz w:val="12"/>
                <w:szCs w:val="12"/>
              </w:rPr>
              <w:t>10</w:t>
            </w:r>
          </w:p>
        </w:tc>
      </w:tr>
    </w:tbl>
    <w:p w14:paraId="15725B85" w14:textId="36BF2868" w:rsidR="00224F94" w:rsidRDefault="00224F94" w:rsidP="00935009">
      <w:pPr>
        <w:spacing w:line="480" w:lineRule="auto"/>
      </w:pPr>
      <w:r>
        <w:t xml:space="preserve">Curricular revision proposals </w:t>
      </w:r>
      <w:r w:rsidR="00C96682">
        <w:t xml:space="preserve">now </w:t>
      </w:r>
      <w:r>
        <w:t xml:space="preserve">need to include the most recent </w:t>
      </w:r>
      <w:r w:rsidR="00935009">
        <w:t xml:space="preserve">program review </w:t>
      </w:r>
      <w:r>
        <w:t xml:space="preserve">self-study as an attachment, with reasoning for the curriculum change linking back to the program review documentation. Also, the </w:t>
      </w:r>
      <w:r w:rsidR="002C5DBF">
        <w:t xml:space="preserve">educational policies committee (EPC) </w:t>
      </w:r>
      <w:r w:rsidR="009153FB">
        <w:t>is</w:t>
      </w:r>
      <w:r w:rsidR="00E8516C">
        <w:t xml:space="preserve"> </w:t>
      </w:r>
      <w:r w:rsidR="009153FB">
        <w:t>returning</w:t>
      </w:r>
      <w:r>
        <w:t xml:space="preserve"> assessment </w:t>
      </w:r>
      <w:r w:rsidR="00935009">
        <w:t xml:space="preserve">plans to the </w:t>
      </w:r>
      <w:r>
        <w:t xml:space="preserve">departments for further clarification when necessary. These processes provide another </w:t>
      </w:r>
      <w:r w:rsidR="00935009">
        <w:t>mechanism</w:t>
      </w:r>
      <w:r>
        <w:t xml:space="preserve"> for ensuring regular departmental review and consideration of their overarching goals for student learning.</w:t>
      </w:r>
      <w:r w:rsidR="004A1AF2">
        <w:t xml:space="preserve"> </w:t>
      </w:r>
    </w:p>
    <w:p w14:paraId="5F2DBBA8" w14:textId="10E69982" w:rsidR="00224F94" w:rsidRDefault="00224F94" w:rsidP="00224F94">
      <w:pPr>
        <w:spacing w:line="480" w:lineRule="auto"/>
        <w:ind w:firstLine="720"/>
      </w:pPr>
      <w:bookmarkStart w:id="2" w:name="_heading=h.gjdgxs" w:colFirst="0" w:colLast="0"/>
      <w:bookmarkEnd w:id="2"/>
      <w:r w:rsidRPr="00F536E3">
        <w:t xml:space="preserve">All </w:t>
      </w:r>
      <w:r>
        <w:t>of SSU’s degree programs have developed PLOs, with some being more finely crafted than others</w:t>
      </w:r>
      <w:r w:rsidR="00E8516C">
        <w:t xml:space="preserve"> (</w:t>
      </w:r>
      <w:r w:rsidR="002C5DBF">
        <w:t>se</w:t>
      </w:r>
      <w:r w:rsidR="00E8516C">
        <w:t xml:space="preserve">e </w:t>
      </w:r>
      <w:r w:rsidR="00DB2390" w:rsidRPr="00A87F72">
        <w:t>appendix</w:t>
      </w:r>
      <w:r w:rsidR="00E8516C" w:rsidRPr="00A87F72">
        <w:t xml:space="preserve"> </w:t>
      </w:r>
      <w:r w:rsidR="009402E9" w:rsidRPr="00A87F72">
        <w:t>1</w:t>
      </w:r>
      <w:r w:rsidR="00E8516C">
        <w:t xml:space="preserve"> for links to examples of recent program reviews)</w:t>
      </w:r>
      <w:r>
        <w:t xml:space="preserve">. A large majority of </w:t>
      </w:r>
      <w:r w:rsidR="00870395">
        <w:t xml:space="preserve">the </w:t>
      </w:r>
      <w:r>
        <w:t>4</w:t>
      </w:r>
      <w:r w:rsidR="009705A0">
        <w:t>8</w:t>
      </w:r>
      <w:r>
        <w:t xml:space="preserve"> baccalaureate degrees and 1</w:t>
      </w:r>
      <w:r w:rsidR="001C0062">
        <w:t>5</w:t>
      </w:r>
      <w:r>
        <w:t xml:space="preserve"> master’s degrees have </w:t>
      </w:r>
      <w:r>
        <w:rPr>
          <w:i/>
        </w:rPr>
        <w:t>measurable</w:t>
      </w:r>
      <w:r>
        <w:t xml:space="preserve"> PLOs. A few programs have broad objectives, which still need to be honed in order to attain measurability, and these refinements will naturally occur as those programs move through the program review process in the next three years. </w:t>
      </w:r>
    </w:p>
    <w:p w14:paraId="7884FAAA" w14:textId="5C65FB60" w:rsidR="00224F94" w:rsidRDefault="00224F94" w:rsidP="007E75CC">
      <w:pPr>
        <w:spacing w:after="0" w:line="480" w:lineRule="auto"/>
        <w:ind w:firstLine="360"/>
      </w:pPr>
      <w:bookmarkStart w:id="3" w:name="_heading=h.thnt6srby6r4" w:colFirst="0" w:colLast="0"/>
      <w:bookmarkEnd w:id="3"/>
      <w:r>
        <w:t xml:space="preserve"> The table (right) shows the current status of PLOs across SSU’s degree programs. </w:t>
      </w:r>
      <w:r w:rsidR="004B3645">
        <w:t>About</w:t>
      </w:r>
      <w:r w:rsidR="00D8166D">
        <w:t xml:space="preserve"> 7</w:t>
      </w:r>
      <w:r w:rsidR="0090341A">
        <w:t>5</w:t>
      </w:r>
      <w:r w:rsidR="00D8166D">
        <w:t>%</w:t>
      </w:r>
      <w:r>
        <w:t xml:space="preserve"> of the degree programs have ten or fewer PLOs, typically regarded as a manageable number to track and assess. </w:t>
      </w:r>
      <w:r w:rsidR="0090341A">
        <w:t>Twenty</w:t>
      </w:r>
      <w:r w:rsidR="004B3645">
        <w:t>-one</w:t>
      </w:r>
      <w:r>
        <w:t xml:space="preserve"> </w:t>
      </w:r>
      <w:r>
        <w:lastRenderedPageBreak/>
        <w:t xml:space="preserve">percent of the programs have 11-20 PLOs, and </w:t>
      </w:r>
      <w:r w:rsidR="0090341A">
        <w:t xml:space="preserve">less than </w:t>
      </w:r>
      <w:r w:rsidR="00390AEB">
        <w:t>5%</w:t>
      </w:r>
      <w:r>
        <w:t xml:space="preserve"> have more than 20 PLOs. While some programs </w:t>
      </w:r>
      <w:r w:rsidR="008E75CE">
        <w:t>can</w:t>
      </w:r>
      <w:r>
        <w:t xml:space="preserve"> have more than 10 PLOs when they are broad degrees that draw on multiple disciplines</w:t>
      </w:r>
      <w:r w:rsidR="008E75CE">
        <w:t xml:space="preserve"> or when they have disciplinary accreditation that requires certain outcomes</w:t>
      </w:r>
      <w:r>
        <w:t>, having a very large number of PLOs can also be indicative of a common ‘</w:t>
      </w:r>
      <w:r>
        <w:rPr>
          <w:i/>
        </w:rPr>
        <w:t>early stage of development</w:t>
      </w:r>
      <w:r>
        <w:t>’</w:t>
      </w:r>
      <w:r w:rsidRPr="003E4970">
        <w:t xml:space="preserve"> </w:t>
      </w:r>
      <w:r>
        <w:t xml:space="preserve">in assessment practice. Over time, programs gradually distill and refine their PLOs to the essential educational outcomes that the program will focus on for that degree. One of SSU’s goals for the next 5 years is to assist departments with the refinement of their current PLOs into a smaller set of overarching </w:t>
      </w:r>
      <w:r w:rsidR="00C96682">
        <w:t xml:space="preserve">outcomes </w:t>
      </w:r>
      <w:r>
        <w:t xml:space="preserve">for student learning, so that the assessment process is more delineated and manageable for their programs. </w:t>
      </w:r>
      <w:r w:rsidR="00C96682">
        <w:t xml:space="preserve">As indicated above, all curriculum revisions are now tied to program review and assessment. </w:t>
      </w:r>
    </w:p>
    <w:p w14:paraId="1F5204F5" w14:textId="41F61E51" w:rsidR="00570207" w:rsidRDefault="00224F94" w:rsidP="00570207">
      <w:pPr>
        <w:tabs>
          <w:tab w:val="left" w:pos="720"/>
        </w:tabs>
        <w:spacing w:after="120" w:line="480" w:lineRule="auto"/>
        <w:ind w:firstLine="360"/>
      </w:pPr>
      <w:r>
        <w:tab/>
        <w:t>As more programs move through the new program review process, they will benefit from the expanded support that now accompanies the process. Additionally, the campus is focused on disseminating PLOs much more widely in the next two years to provide enhanced clarity for students as they choose among degree programs</w:t>
      </w:r>
      <w:r w:rsidR="00C96682">
        <w:t xml:space="preserve"> and pursue their degrees</w:t>
      </w:r>
      <w:r>
        <w:t xml:space="preserve">. PLOs are progressively being added to each program’s website, with a goal for all PLOs to be posted online by the end of the 2020-21 academic year. The PLOs for every degree program are also scheduled to be incorporated into the 2021-22 university catalog during the catalog revision process </w:t>
      </w:r>
      <w:r w:rsidR="00C96682">
        <w:t xml:space="preserve">that </w:t>
      </w:r>
      <w:r>
        <w:t>launche</w:t>
      </w:r>
      <w:r w:rsidR="00D8166D">
        <w:t>d</w:t>
      </w:r>
      <w:r>
        <w:t xml:space="preserve"> in </w:t>
      </w:r>
      <w:r w:rsidR="00841753">
        <w:t>fall</w:t>
      </w:r>
      <w:r>
        <w:t xml:space="preserve"> 2020. </w:t>
      </w:r>
    </w:p>
    <w:p w14:paraId="0867F944" w14:textId="0AA92788" w:rsidR="00CE5793" w:rsidRPr="00CE5793" w:rsidRDefault="00224F94" w:rsidP="00570207">
      <w:pPr>
        <w:pStyle w:val="Heading2"/>
      </w:pPr>
      <w:r>
        <w:t xml:space="preserve">Assessment Plans for </w:t>
      </w:r>
      <w:r w:rsidR="00EE517C">
        <w:t>a</w:t>
      </w:r>
      <w:r>
        <w:t xml:space="preserve">ll Degree Programs </w:t>
      </w:r>
      <w:r w:rsidR="00570207">
        <w:br/>
      </w:r>
    </w:p>
    <w:p w14:paraId="7EC30DAC" w14:textId="79D16C2D" w:rsidR="00224F94" w:rsidRDefault="00224F94" w:rsidP="00224F94">
      <w:pPr>
        <w:spacing w:after="0" w:line="480" w:lineRule="auto"/>
        <w:ind w:firstLine="720"/>
      </w:pPr>
      <w:r>
        <w:t xml:space="preserve">The large majority of SSU’s degree programs have some form of an assessment plan, which is monitored (to track implementation) and fine-tuned (in the spirit of continuous improvement) as programs move through the review process. An examination of </w:t>
      </w:r>
      <w:r w:rsidR="00C96682">
        <w:t xml:space="preserve">recent </w:t>
      </w:r>
      <w:r>
        <w:t xml:space="preserve">program review documents indicates that programs </w:t>
      </w:r>
      <w:r w:rsidR="00C96682">
        <w:t xml:space="preserve">exhibit </w:t>
      </w:r>
      <w:r>
        <w:t>a range of maturity levels with their assessment plans. They vary in many ways</w:t>
      </w:r>
      <w:r w:rsidR="00C96682">
        <w:t>,</w:t>
      </w:r>
      <w:r>
        <w:t xml:space="preserve"> including whether indirect or direct </w:t>
      </w:r>
      <w:r w:rsidR="008E75CE">
        <w:t>measures are</w:t>
      </w:r>
      <w:r>
        <w:t xml:space="preserve"> used (or both), what process is used by department faculty to assess PLOs, how programs </w:t>
      </w:r>
      <w:r w:rsidR="00EE517C">
        <w:t>“</w:t>
      </w:r>
      <w:r>
        <w:t>close the loop</w:t>
      </w:r>
      <w:r w:rsidR="00EE517C">
        <w:t>”</w:t>
      </w:r>
      <w:r>
        <w:t xml:space="preserve"> after an assessment cycle, the level </w:t>
      </w:r>
      <w:r>
        <w:lastRenderedPageBreak/>
        <w:t>of refinement of their course maps, and the extent to which there is a defined schedule/timeline for the assessment process.</w:t>
      </w:r>
    </w:p>
    <w:p w14:paraId="1BF06E4E" w14:textId="69227161" w:rsidR="00224F94" w:rsidRDefault="00224F94" w:rsidP="00224F94">
      <w:pPr>
        <w:spacing w:after="0" w:line="480" w:lineRule="auto"/>
        <w:ind w:firstLine="720"/>
        <w:rPr>
          <w:b/>
          <w:sz w:val="24"/>
          <w:szCs w:val="24"/>
          <w:u w:val="single"/>
        </w:rPr>
      </w:pPr>
      <w:r>
        <w:t>It is interesting to note, and perhaps not unexpected, that the more mature assessment plans are most commonly (though not exclusively) seen in the degree programs that maintain separate, specialized accreditations (such as Nursing, Business, and Education). Most of SSU’s programs have assessment plans that are best described as evolving; they are on the upward trajectory in terms of their overall organization but are either more newly developed or still require some extra work to deepen their degree of embeddedness, focus, and/or consistency</w:t>
      </w:r>
      <w:r w:rsidR="00E8516C">
        <w:t xml:space="preserve"> (</w:t>
      </w:r>
      <w:r w:rsidR="002C5DBF">
        <w:t xml:space="preserve">see </w:t>
      </w:r>
      <w:r w:rsidR="00DB2390" w:rsidRPr="00A87F72">
        <w:t>appendix</w:t>
      </w:r>
      <w:r w:rsidR="00E8516C" w:rsidRPr="00A87F72">
        <w:t xml:space="preserve"> </w:t>
      </w:r>
      <w:r w:rsidR="0038459D" w:rsidRPr="00A87F72">
        <w:t>1</w:t>
      </w:r>
      <w:r w:rsidR="00E8516C">
        <w:t xml:space="preserve"> for an example of an assessment plan)</w:t>
      </w:r>
      <w:r>
        <w:t>.</w:t>
      </w:r>
    </w:p>
    <w:p w14:paraId="7615F917" w14:textId="39B707E9" w:rsidR="00570207" w:rsidRDefault="00224F94" w:rsidP="00570207">
      <w:pPr>
        <w:spacing w:line="480" w:lineRule="auto"/>
        <w:ind w:firstLine="720"/>
      </w:pPr>
      <w:r>
        <w:t xml:space="preserve">The goal for SSU in the next three years is to continue offering training, support, and mentorship to programs with evolving assessment plans, to enable them to hone those plans in ways that deliver the most useful information for program improvement and student learning. In developing the response to this recommendation, it became clear that SSU could benefit from a fine-grained way of determining the developmental level of different programs’ assessment plans. To that end, a </w:t>
      </w:r>
      <w:sdt>
        <w:sdtPr>
          <w:tag w:val="goog_rdk_38"/>
          <w:id w:val="-143745007"/>
        </w:sdtPr>
        <w:sdtContent/>
      </w:sdt>
      <w:sdt>
        <w:sdtPr>
          <w:tag w:val="goog_rdk_39"/>
          <w:id w:val="-92024876"/>
        </w:sdtPr>
        <w:sdtContent/>
      </w:sdt>
      <w:r>
        <w:t xml:space="preserve">meta-assessment tool will be developed and implemented in 2020-21 by </w:t>
      </w:r>
      <w:r w:rsidR="002C5DBF">
        <w:t>the office of a</w:t>
      </w:r>
      <w:r>
        <w:t xml:space="preserve">cademic </w:t>
      </w:r>
      <w:r w:rsidR="002C5DBF">
        <w:t>p</w:t>
      </w:r>
      <w:r>
        <w:t xml:space="preserve">rograms, in consultation with the </w:t>
      </w:r>
      <w:r w:rsidR="002C5DBF">
        <w:t>university program review subcommittee (UPRS)</w:t>
      </w:r>
      <w:r>
        <w:t>, to enable all programs’ progress (related to program review components) to be analyzed across a standard set of criteria. The aggregated data will provide a baseline measurement of where SSU stands, as a campus</w:t>
      </w:r>
      <w:sdt>
        <w:sdtPr>
          <w:tag w:val="goog_rdk_41"/>
          <w:id w:val="-1566017189"/>
        </w:sdtPr>
        <w:sdtContent>
          <w:r>
            <w:t xml:space="preserve">, </w:t>
          </w:r>
        </w:sdtContent>
      </w:sdt>
      <w:r>
        <w:t>on its overall development in the assessment area. In subsequent years, goals can be set to achieve some percentage of improvement (e.g., “10% increase in the number of programs scoring in the ‘</w:t>
      </w:r>
      <w:r>
        <w:rPr>
          <w:i/>
        </w:rPr>
        <w:t>developed</w:t>
      </w:r>
      <w:r>
        <w:t>’ or ‘</w:t>
      </w:r>
      <w:r>
        <w:rPr>
          <w:i/>
        </w:rPr>
        <w:t>highly developed</w:t>
      </w:r>
      <w:r w:rsidRPr="00AD34D7">
        <w:t>’</w:t>
      </w:r>
      <w:r>
        <w:rPr>
          <w:i/>
        </w:rPr>
        <w:t xml:space="preserve"> </w:t>
      </w:r>
      <w:r>
        <w:t>categories”), and the meta-assessment tool can thereby be used to track campus progress over time.</w:t>
      </w:r>
    </w:p>
    <w:p w14:paraId="3DB74E23" w14:textId="4E66CDF6" w:rsidR="00570207" w:rsidRDefault="00570207" w:rsidP="00570207">
      <w:pPr>
        <w:spacing w:line="480" w:lineRule="auto"/>
        <w:ind w:firstLine="720"/>
      </w:pPr>
    </w:p>
    <w:p w14:paraId="58F8390C" w14:textId="77777777" w:rsidR="00570207" w:rsidRDefault="00570207" w:rsidP="00570207">
      <w:pPr>
        <w:spacing w:line="480" w:lineRule="auto"/>
        <w:ind w:firstLine="720"/>
      </w:pPr>
    </w:p>
    <w:p w14:paraId="1870A74D" w14:textId="17D26445" w:rsidR="00224F94" w:rsidRDefault="00224F94" w:rsidP="00CE5793">
      <w:pPr>
        <w:pStyle w:val="Heading2"/>
      </w:pPr>
      <w:r>
        <w:lastRenderedPageBreak/>
        <w:t xml:space="preserve">PLOs and Assessment for the General Education </w:t>
      </w:r>
      <w:sdt>
        <w:sdtPr>
          <w:tag w:val="goog_rdk_46"/>
          <w:id w:val="-518162444"/>
        </w:sdtPr>
        <w:sdtContent/>
      </w:sdt>
      <w:r>
        <w:t>Program</w:t>
      </w:r>
    </w:p>
    <w:p w14:paraId="7D5D783D" w14:textId="77777777" w:rsidR="00CE5793" w:rsidRPr="00CE5793" w:rsidRDefault="00CE5793" w:rsidP="00CE5793"/>
    <w:p w14:paraId="34CEF50A" w14:textId="4DEFF825" w:rsidR="00224F94" w:rsidRDefault="00224F94" w:rsidP="00224F94">
      <w:pPr>
        <w:tabs>
          <w:tab w:val="left" w:pos="720"/>
        </w:tabs>
        <w:spacing w:line="480" w:lineRule="auto"/>
      </w:pPr>
      <w:r>
        <w:tab/>
        <w:t xml:space="preserve">SSU has also addressed PLOs and assessments in its General Education (GE) curriculum, as a part of the comprehensive GE revision that was initiated by the </w:t>
      </w:r>
      <w:r w:rsidR="002C5DBF">
        <w:t xml:space="preserve">academic senate </w:t>
      </w:r>
      <w:r>
        <w:t xml:space="preserve">in the 2017-18 academic year. The proposed revision </w:t>
      </w:r>
      <w:r>
        <w:rPr>
          <w:highlight w:val="white"/>
        </w:rPr>
        <w:t>was informed by feedback provided from students and faculty, GE program review, campus listening tours, and best practices from across the nation. The new GE program</w:t>
      </w:r>
      <w:r>
        <w:t xml:space="preserve"> was approved by the </w:t>
      </w:r>
      <w:r w:rsidR="002C5DBF">
        <w:t xml:space="preserve">academic senate </w:t>
      </w:r>
      <w:r>
        <w:t xml:space="preserve">in </w:t>
      </w:r>
      <w:r w:rsidR="00390AEB">
        <w:t>s</w:t>
      </w:r>
      <w:r>
        <w:t>pring 2019, and it includes measurable PLOs encompassing 13 learning outcomes</w:t>
      </w:r>
      <w:r w:rsidR="00E8516C">
        <w:t xml:space="preserve"> (</w:t>
      </w:r>
      <w:r w:rsidR="002C5DBF">
        <w:t xml:space="preserve">see </w:t>
      </w:r>
      <w:r w:rsidR="00DB2390" w:rsidRPr="00A87F72">
        <w:t>appendix</w:t>
      </w:r>
      <w:r w:rsidR="00E8516C" w:rsidRPr="00A87F72">
        <w:t xml:space="preserve"> 1</w:t>
      </w:r>
      <w:r w:rsidR="00E8516C" w:rsidRPr="00227C6E">
        <w:t xml:space="preserve"> </w:t>
      </w:r>
      <w:r w:rsidR="00E8516C">
        <w:t>for the GE learning outcomes)</w:t>
      </w:r>
      <w:r>
        <w:t xml:space="preserve">. An assessment plan was developed, which focuses on faculty creating and submitting “signature assignments” for subsequent review. Three rubrics were developed for a </w:t>
      </w:r>
      <w:r w:rsidR="002C5DBF">
        <w:t xml:space="preserve">summer </w:t>
      </w:r>
      <w:r>
        <w:t xml:space="preserve">2020 pilot test of the assessment process. Rubrics for the remaining 10 PLOs will be developed through </w:t>
      </w:r>
      <w:r w:rsidR="00841753">
        <w:t>fall</w:t>
      </w:r>
      <w:r>
        <w:t xml:space="preserve"> 2021.</w:t>
      </w:r>
      <w:r w:rsidR="009D57CC">
        <w:t xml:space="preserve"> See the </w:t>
      </w:r>
      <w:r w:rsidR="002C5DBF">
        <w:t xml:space="preserve">response </w:t>
      </w:r>
      <w:r w:rsidR="009D57CC">
        <w:t xml:space="preserve">to </w:t>
      </w:r>
      <w:r w:rsidR="002C5DBF">
        <w:t xml:space="preserve">recommendation </w:t>
      </w:r>
      <w:r w:rsidR="009D57CC">
        <w:t>#7 for more information about the GE assessment process.</w:t>
      </w:r>
    </w:p>
    <w:p w14:paraId="2988E461" w14:textId="77777777" w:rsidR="00E8516C" w:rsidRDefault="00E8516C">
      <w:pPr>
        <w:rPr>
          <w:b/>
          <w:sz w:val="28"/>
          <w:szCs w:val="28"/>
        </w:rPr>
      </w:pPr>
      <w:r>
        <w:rPr>
          <w:b/>
          <w:sz w:val="28"/>
          <w:szCs w:val="28"/>
        </w:rPr>
        <w:br w:type="page"/>
      </w:r>
    </w:p>
    <w:p w14:paraId="277E1218" w14:textId="4401D02E" w:rsidR="00135E27" w:rsidRPr="00FF6EE9" w:rsidRDefault="00135E27" w:rsidP="00570207">
      <w:pPr>
        <w:pStyle w:val="Heading1"/>
        <w:jc w:val="center"/>
      </w:pPr>
      <w:r w:rsidRPr="00FF6EE9">
        <w:lastRenderedPageBreak/>
        <w:t>SSU’s Follow-up Response to Recommendation #2</w:t>
      </w:r>
    </w:p>
    <w:p w14:paraId="2A88F823" w14:textId="77777777" w:rsidR="00135E27" w:rsidRPr="00570207" w:rsidRDefault="00135E27" w:rsidP="00135E27">
      <w:pPr>
        <w:spacing w:after="0"/>
        <w:jc w:val="center"/>
        <w:outlineLvl w:val="0"/>
        <w:rPr>
          <w:rStyle w:val="Emphasis"/>
        </w:rPr>
      </w:pPr>
      <w:r w:rsidRPr="00570207">
        <w:rPr>
          <w:rStyle w:val="Emphasis"/>
        </w:rPr>
        <w:t>[Adhering to the recently approved Program Review Policy 20061. (CFR 2.7)]</w:t>
      </w:r>
    </w:p>
    <w:p w14:paraId="63A43340" w14:textId="77777777" w:rsidR="00135E27" w:rsidRDefault="00135E27" w:rsidP="00135E27">
      <w:pPr>
        <w:rPr>
          <w:b/>
          <w:sz w:val="24"/>
          <w:szCs w:val="24"/>
          <w:u w:val="single"/>
        </w:rPr>
      </w:pPr>
      <w:r>
        <w:rPr>
          <w:b/>
          <w:sz w:val="24"/>
          <w:szCs w:val="24"/>
          <w:u w:val="single"/>
        </w:rPr>
        <w:t xml:space="preserve"> </w:t>
      </w:r>
    </w:p>
    <w:p w14:paraId="2A082B6B" w14:textId="794B1E71" w:rsidR="00570207" w:rsidRPr="00570207" w:rsidRDefault="00135E27" w:rsidP="00570207">
      <w:pPr>
        <w:pStyle w:val="Heading2"/>
      </w:pPr>
      <w:r>
        <w:t>Program Review Policy Revision and Process Improvements</w:t>
      </w:r>
      <w:r w:rsidR="00570207">
        <w:br/>
      </w:r>
    </w:p>
    <w:p w14:paraId="4B70666E" w14:textId="0D7459C8" w:rsidR="00135E27" w:rsidRDefault="00135E27" w:rsidP="00135E27">
      <w:pPr>
        <w:spacing w:after="0" w:line="480" w:lineRule="auto"/>
        <w:ind w:firstLine="720"/>
        <w:rPr>
          <w:color w:val="000000"/>
        </w:rPr>
      </w:pPr>
      <w:r>
        <w:rPr>
          <w:color w:val="000000"/>
        </w:rPr>
        <w:t xml:space="preserve">The </w:t>
      </w:r>
      <w:r w:rsidR="002C5DBF">
        <w:rPr>
          <w:color w:val="000000"/>
        </w:rPr>
        <w:t>U</w:t>
      </w:r>
      <w:r>
        <w:rPr>
          <w:color w:val="000000"/>
        </w:rPr>
        <w:t xml:space="preserve">PRS, a subcommittee of </w:t>
      </w:r>
      <w:r w:rsidR="002C5DBF">
        <w:rPr>
          <w:color w:val="000000"/>
        </w:rPr>
        <w:t>the academic senate’s a</w:t>
      </w:r>
      <w:r>
        <w:rPr>
          <w:color w:val="000000"/>
        </w:rPr>
        <w:t xml:space="preserve">cademic </w:t>
      </w:r>
      <w:r w:rsidR="002C5DBF">
        <w:rPr>
          <w:color w:val="000000"/>
        </w:rPr>
        <w:t>planning, assessment, and resources committee (APARC)</w:t>
      </w:r>
      <w:r>
        <w:rPr>
          <w:color w:val="000000"/>
        </w:rPr>
        <w:t xml:space="preserve"> took on the task of revising SSU’s program review policy in </w:t>
      </w:r>
      <w:r w:rsidR="00841753">
        <w:rPr>
          <w:color w:val="000000"/>
        </w:rPr>
        <w:t>fall</w:t>
      </w:r>
      <w:r>
        <w:rPr>
          <w:color w:val="000000"/>
        </w:rPr>
        <w:t xml:space="preserve"> 2016, with a special focus on separating the policy and principles of program review from the procedural guidelines</w:t>
      </w:r>
      <w:r w:rsidR="00A15A0A">
        <w:rPr>
          <w:color w:val="000000"/>
        </w:rPr>
        <w:t xml:space="preserve"> (</w:t>
      </w:r>
      <w:r w:rsidR="002C5DBF">
        <w:rPr>
          <w:color w:val="000000"/>
        </w:rPr>
        <w:t>s</w:t>
      </w:r>
      <w:r w:rsidR="009153FB">
        <w:rPr>
          <w:color w:val="000000"/>
        </w:rPr>
        <w:t xml:space="preserve">ee </w:t>
      </w:r>
      <w:r w:rsidR="00DB2390" w:rsidRPr="00A87F72">
        <w:t>appendix</w:t>
      </w:r>
      <w:r w:rsidR="009153FB" w:rsidRPr="00A87F72">
        <w:t xml:space="preserve"> 2</w:t>
      </w:r>
      <w:r w:rsidR="009153FB">
        <w:rPr>
          <w:color w:val="000000"/>
        </w:rPr>
        <w:t xml:space="preserve"> for the link to the revised </w:t>
      </w:r>
      <w:r w:rsidR="002C5DBF">
        <w:rPr>
          <w:color w:val="000000"/>
        </w:rPr>
        <w:t>program review policy</w:t>
      </w:r>
      <w:r w:rsidR="009153FB">
        <w:rPr>
          <w:color w:val="000000"/>
        </w:rPr>
        <w:t>)</w:t>
      </w:r>
      <w:r>
        <w:rPr>
          <w:color w:val="000000"/>
        </w:rPr>
        <w:t>.</w:t>
      </w:r>
      <w:r w:rsidR="004A1AF2">
        <w:rPr>
          <w:color w:val="000000"/>
        </w:rPr>
        <w:t xml:space="preserve"> </w:t>
      </w:r>
      <w:r>
        <w:rPr>
          <w:color w:val="000000"/>
        </w:rPr>
        <w:t>The policy and guidelines were discussed in multiple Senate committees as well as during a faculty retreat, and the suggested changes included the following:</w:t>
      </w:r>
    </w:p>
    <w:p w14:paraId="321665AD" w14:textId="77777777"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141F28"/>
        </w:rPr>
      </w:pPr>
      <w:r w:rsidRPr="006A790F">
        <w:rPr>
          <w:color w:val="141F28"/>
        </w:rPr>
        <w:t>More formal training for the departments beginning the program review process</w:t>
      </w:r>
    </w:p>
    <w:p w14:paraId="20475DEA" w14:textId="00B4CDE5"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141F28"/>
        </w:rPr>
      </w:pPr>
      <w:r w:rsidRPr="006A790F">
        <w:rPr>
          <w:color w:val="141F28"/>
        </w:rPr>
        <w:t xml:space="preserve">Ongoing support from the </w:t>
      </w:r>
      <w:r w:rsidR="002C5DBF">
        <w:rPr>
          <w:color w:val="141F28"/>
        </w:rPr>
        <w:t>o</w:t>
      </w:r>
      <w:r w:rsidR="002C5DBF" w:rsidRPr="006A790F">
        <w:rPr>
          <w:color w:val="141F28"/>
        </w:rPr>
        <w:t xml:space="preserve">ffice </w:t>
      </w:r>
      <w:r w:rsidRPr="006A790F">
        <w:rPr>
          <w:color w:val="141F28"/>
        </w:rPr>
        <w:t xml:space="preserve">of </w:t>
      </w:r>
      <w:r w:rsidR="002C5DBF">
        <w:rPr>
          <w:color w:val="141F28"/>
        </w:rPr>
        <w:t>a</w:t>
      </w:r>
      <w:r w:rsidR="002C5DBF" w:rsidRPr="006A790F">
        <w:rPr>
          <w:color w:val="141F28"/>
        </w:rPr>
        <w:t xml:space="preserve">cademic </w:t>
      </w:r>
      <w:r w:rsidR="002C5DBF">
        <w:rPr>
          <w:color w:val="141F28"/>
        </w:rPr>
        <w:t>p</w:t>
      </w:r>
      <w:r w:rsidR="002C5DBF" w:rsidRPr="006A790F">
        <w:rPr>
          <w:color w:val="141F28"/>
        </w:rPr>
        <w:t xml:space="preserve">rograms </w:t>
      </w:r>
      <w:r w:rsidRPr="006A790F">
        <w:rPr>
          <w:color w:val="141F28"/>
        </w:rPr>
        <w:t xml:space="preserve">for the departments and the program review coordinators as they prepare the self-study with the goal of ensuring timely completion of the self-study and engaging faculty in discussions about assessment and curriculum revision, as well as other aspects of the program review template </w:t>
      </w:r>
    </w:p>
    <w:p w14:paraId="6CEA9918" w14:textId="5E6712FC"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141F28"/>
        </w:rPr>
      </w:pPr>
      <w:r w:rsidRPr="006A790F">
        <w:rPr>
          <w:color w:val="141F28"/>
        </w:rPr>
        <w:t xml:space="preserve">Clarification of the external review process that creates opportunities for the </w:t>
      </w:r>
      <w:r w:rsidR="002C5DBF">
        <w:rPr>
          <w:color w:val="141F28"/>
        </w:rPr>
        <w:t>p</w:t>
      </w:r>
      <w:r w:rsidR="002C5DBF" w:rsidRPr="006A790F">
        <w:rPr>
          <w:color w:val="141F28"/>
        </w:rPr>
        <w:t xml:space="preserve">rovost </w:t>
      </w:r>
      <w:r w:rsidRPr="006A790F">
        <w:rPr>
          <w:color w:val="141F28"/>
        </w:rPr>
        <w:t xml:space="preserve">and the AVP for </w:t>
      </w:r>
      <w:r w:rsidR="002C5DBF">
        <w:rPr>
          <w:color w:val="141F28"/>
        </w:rPr>
        <w:t>a</w:t>
      </w:r>
      <w:r w:rsidR="002C5DBF" w:rsidRPr="006A790F">
        <w:rPr>
          <w:color w:val="141F28"/>
        </w:rPr>
        <w:t xml:space="preserve">cademic </w:t>
      </w:r>
      <w:r w:rsidR="002C5DBF">
        <w:rPr>
          <w:color w:val="141F28"/>
        </w:rPr>
        <w:t>p</w:t>
      </w:r>
      <w:r w:rsidR="002C5DBF" w:rsidRPr="006A790F">
        <w:rPr>
          <w:color w:val="141F28"/>
        </w:rPr>
        <w:t xml:space="preserve">rograms </w:t>
      </w:r>
      <w:r w:rsidRPr="006A790F">
        <w:rPr>
          <w:color w:val="141F28"/>
        </w:rPr>
        <w:t>to discuss the external reviewer’s findings with the department chair and dean, thus ensuring that administrators are invested in the process and working with the department on how to use the external review findings</w:t>
      </w:r>
    </w:p>
    <w:p w14:paraId="7F002BAB" w14:textId="77777777"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141F28"/>
        </w:rPr>
      </w:pPr>
      <w:r w:rsidRPr="006A790F">
        <w:rPr>
          <w:color w:val="141F28"/>
        </w:rPr>
        <w:t>Clarification of the role of school curriculum committees and the deans in the program review process with clear guidelines for the feedback needed at those levels</w:t>
      </w:r>
    </w:p>
    <w:p w14:paraId="44984C5C" w14:textId="77777777"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141F28"/>
        </w:rPr>
      </w:pPr>
      <w:r w:rsidRPr="006A790F">
        <w:rPr>
          <w:color w:val="141F28"/>
        </w:rPr>
        <w:t>Development of a set of guidelines for UPRS to use when providing feedback to departments, which also enables UPRS to assess the quality and integrity of the program review process</w:t>
      </w:r>
    </w:p>
    <w:p w14:paraId="21B64E66" w14:textId="5E4A6B8C" w:rsidR="00135E27" w:rsidRPr="006A790F" w:rsidRDefault="00135E27" w:rsidP="00DA5365">
      <w:pPr>
        <w:pStyle w:val="ListParagraph"/>
        <w:numPr>
          <w:ilvl w:val="0"/>
          <w:numId w:val="37"/>
        </w:numPr>
        <w:pBdr>
          <w:top w:val="nil"/>
          <w:left w:val="nil"/>
          <w:bottom w:val="nil"/>
          <w:right w:val="nil"/>
          <w:between w:val="nil"/>
        </w:pBdr>
        <w:spacing w:after="0" w:line="240" w:lineRule="auto"/>
        <w:ind w:left="720"/>
        <w:rPr>
          <w:color w:val="000000"/>
        </w:rPr>
      </w:pPr>
      <w:r w:rsidRPr="006A790F">
        <w:rPr>
          <w:color w:val="141F28"/>
        </w:rPr>
        <w:t>Clarification of the MOU</w:t>
      </w:r>
      <w:r w:rsidR="002C5DBF">
        <w:rPr>
          <w:color w:val="141F28"/>
        </w:rPr>
        <w:t xml:space="preserve"> </w:t>
      </w:r>
      <w:r w:rsidRPr="006A790F">
        <w:rPr>
          <w:color w:val="141F28"/>
        </w:rPr>
        <w:t>template and the contents of the MOU, which should spell out departmental responsibilities and timelines for action items as well as the support and resources needed from the institution for the department to make progress</w:t>
      </w:r>
    </w:p>
    <w:p w14:paraId="69EA64E3" w14:textId="77777777" w:rsidR="00135E27" w:rsidRDefault="00135E27" w:rsidP="006A790F">
      <w:pPr>
        <w:pBdr>
          <w:top w:val="nil"/>
          <w:left w:val="nil"/>
          <w:bottom w:val="nil"/>
          <w:right w:val="nil"/>
          <w:between w:val="nil"/>
        </w:pBdr>
        <w:spacing w:after="0" w:line="240" w:lineRule="auto"/>
        <w:rPr>
          <w:color w:val="000000"/>
        </w:rPr>
      </w:pPr>
    </w:p>
    <w:p w14:paraId="602D3D64" w14:textId="3E1A12A8" w:rsidR="00135E27" w:rsidRDefault="00135E27" w:rsidP="00135E27">
      <w:pPr>
        <w:pBdr>
          <w:top w:val="nil"/>
          <w:left w:val="nil"/>
          <w:bottom w:val="nil"/>
          <w:right w:val="nil"/>
          <w:between w:val="nil"/>
        </w:pBdr>
        <w:spacing w:after="0" w:line="480" w:lineRule="auto"/>
        <w:ind w:firstLine="720"/>
        <w:rPr>
          <w:color w:val="000000"/>
        </w:rPr>
      </w:pPr>
      <w:r>
        <w:rPr>
          <w:color w:val="000000"/>
        </w:rPr>
        <w:t xml:space="preserve">The revised program review policy was formally approved at the end of the </w:t>
      </w:r>
      <w:r w:rsidR="00390AEB">
        <w:rPr>
          <w:color w:val="000000"/>
        </w:rPr>
        <w:t>s</w:t>
      </w:r>
      <w:r>
        <w:rPr>
          <w:color w:val="000000"/>
        </w:rPr>
        <w:t>pring 2017 semester.</w:t>
      </w:r>
      <w:r w:rsidR="004A1AF2">
        <w:rPr>
          <w:color w:val="000000"/>
        </w:rPr>
        <w:t xml:space="preserve"> </w:t>
      </w:r>
      <w:r>
        <w:rPr>
          <w:color w:val="000000"/>
        </w:rPr>
        <w:t xml:space="preserve">The revised policy was put into practice in the </w:t>
      </w:r>
      <w:r w:rsidR="00841753">
        <w:rPr>
          <w:color w:val="000000"/>
        </w:rPr>
        <w:t>fall</w:t>
      </w:r>
      <w:r>
        <w:rPr>
          <w:color w:val="000000"/>
        </w:rPr>
        <w:t xml:space="preserve"> 2017 semester.</w:t>
      </w:r>
      <w:r w:rsidR="004A1AF2">
        <w:rPr>
          <w:color w:val="000000"/>
        </w:rPr>
        <w:t xml:space="preserve"> </w:t>
      </w:r>
      <w:r>
        <w:rPr>
          <w:color w:val="000000"/>
        </w:rPr>
        <w:t>In the years following the revision to the program review policy, UPRS has focused on refining workflows and processes to support continuous improvement and assessment capacity in degree programs.</w:t>
      </w:r>
      <w:r w:rsidR="004A1AF2">
        <w:rPr>
          <w:color w:val="000000"/>
        </w:rPr>
        <w:t xml:space="preserve"> </w:t>
      </w:r>
      <w:r>
        <w:rPr>
          <w:color w:val="000000"/>
        </w:rPr>
        <w:t xml:space="preserve">In 2018-19, UPRS created a template for a new </w:t>
      </w:r>
      <w:r w:rsidR="002C5DBF">
        <w:rPr>
          <w:color w:val="000000"/>
        </w:rPr>
        <w:t xml:space="preserve">findings </w:t>
      </w:r>
      <w:r>
        <w:rPr>
          <w:color w:val="000000"/>
        </w:rPr>
        <w:t xml:space="preserve">and </w:t>
      </w:r>
      <w:r w:rsidR="002C5DBF">
        <w:rPr>
          <w:color w:val="000000"/>
        </w:rPr>
        <w:t xml:space="preserve">recommendations report </w:t>
      </w:r>
      <w:r>
        <w:rPr>
          <w:color w:val="000000"/>
        </w:rPr>
        <w:t xml:space="preserve">(FAR) that guides their conversations with program representatives, by focusing attention on curriculum, assessment, staffing and resources, </w:t>
      </w:r>
      <w:r>
        <w:rPr>
          <w:color w:val="000000"/>
        </w:rPr>
        <w:lastRenderedPageBreak/>
        <w:t>students, and the program review process.</w:t>
      </w:r>
      <w:r w:rsidR="004A1AF2">
        <w:rPr>
          <w:color w:val="000000"/>
        </w:rPr>
        <w:t xml:space="preserve"> </w:t>
      </w:r>
      <w:r>
        <w:rPr>
          <w:color w:val="000000"/>
        </w:rPr>
        <w:t xml:space="preserve">Through the FAR, the goal for UPRS is to identify program strengths and areas for growth, to help refine assessment practices when needed, and to synthesize </w:t>
      </w:r>
      <w:r w:rsidR="004A1AF2">
        <w:rPr>
          <w:color w:val="000000"/>
        </w:rPr>
        <w:t>findings across all</w:t>
      </w:r>
      <w:r>
        <w:rPr>
          <w:color w:val="000000"/>
        </w:rPr>
        <w:t xml:space="preserve"> program reviews to identify common concerns and/or challenges that might be addressed in a more holistic way across the university.</w:t>
      </w:r>
    </w:p>
    <w:p w14:paraId="429918DE" w14:textId="2E682D29" w:rsidR="00135E27" w:rsidRDefault="00135E27" w:rsidP="00135E27">
      <w:pPr>
        <w:pBdr>
          <w:top w:val="nil"/>
          <w:left w:val="nil"/>
          <w:bottom w:val="nil"/>
          <w:right w:val="nil"/>
          <w:between w:val="nil"/>
        </w:pBdr>
        <w:spacing w:after="0" w:line="480" w:lineRule="auto"/>
        <w:ind w:firstLine="720"/>
        <w:rPr>
          <w:color w:val="000000"/>
        </w:rPr>
      </w:pPr>
      <w:r>
        <w:rPr>
          <w:color w:val="000000"/>
        </w:rPr>
        <w:t>UPRS also made significant changes to the program review self-study template in the 2018-19 academic year.</w:t>
      </w:r>
      <w:r w:rsidR="004A1AF2">
        <w:rPr>
          <w:color w:val="000000"/>
        </w:rPr>
        <w:t xml:space="preserve"> </w:t>
      </w:r>
      <w:r>
        <w:rPr>
          <w:color w:val="000000"/>
        </w:rPr>
        <w:t>The committee heard from faculty that the template was redundant and overly complex.</w:t>
      </w:r>
      <w:r w:rsidR="004A1AF2">
        <w:rPr>
          <w:color w:val="000000"/>
        </w:rPr>
        <w:t xml:space="preserve"> </w:t>
      </w:r>
      <w:r>
        <w:rPr>
          <w:color w:val="000000"/>
        </w:rPr>
        <w:t>In response to</w:t>
      </w:r>
      <w:r w:rsidR="004A1AF2">
        <w:rPr>
          <w:color w:val="000000"/>
        </w:rPr>
        <w:t xml:space="preserve"> </w:t>
      </w:r>
      <w:r>
        <w:rPr>
          <w:color w:val="000000"/>
        </w:rPr>
        <w:t xml:space="preserve">faculty feedback, UPRS revised the template, reimagining it instead as a </w:t>
      </w:r>
      <w:r w:rsidR="002C5DBF">
        <w:rPr>
          <w:color w:val="000000"/>
        </w:rPr>
        <w:t>self</w:t>
      </w:r>
      <w:r>
        <w:rPr>
          <w:color w:val="000000"/>
        </w:rPr>
        <w:t>-</w:t>
      </w:r>
      <w:r w:rsidR="002C5DBF">
        <w:rPr>
          <w:color w:val="000000"/>
        </w:rPr>
        <w:t xml:space="preserve">study guide </w:t>
      </w:r>
      <w:r>
        <w:rPr>
          <w:color w:val="000000"/>
        </w:rPr>
        <w:t xml:space="preserve">for program faculty to use to focus the discussions and </w:t>
      </w:r>
      <w:r w:rsidR="001D205C">
        <w:rPr>
          <w:color w:val="000000"/>
        </w:rPr>
        <w:t>data-</w:t>
      </w:r>
      <w:r>
        <w:rPr>
          <w:color w:val="000000"/>
        </w:rPr>
        <w:t>gathering they would need to do during the self-study process</w:t>
      </w:r>
      <w:r w:rsidR="00490168">
        <w:rPr>
          <w:color w:val="000000"/>
        </w:rPr>
        <w:t xml:space="preserve"> (</w:t>
      </w:r>
      <w:r w:rsidR="002C5DBF">
        <w:rPr>
          <w:color w:val="000000"/>
        </w:rPr>
        <w:t xml:space="preserve">see </w:t>
      </w:r>
      <w:r w:rsidR="00DB2390" w:rsidRPr="00A87F72">
        <w:t>appendix</w:t>
      </w:r>
      <w:r w:rsidR="00490168" w:rsidRPr="00A87F72">
        <w:t xml:space="preserve"> 2</w:t>
      </w:r>
      <w:r w:rsidR="00490168">
        <w:rPr>
          <w:color w:val="000000"/>
        </w:rPr>
        <w:t xml:space="preserve"> for the link to the Self-Study Guide and process guidelines)</w:t>
      </w:r>
      <w:r>
        <w:rPr>
          <w:color w:val="000000"/>
        </w:rPr>
        <w:t>.</w:t>
      </w:r>
      <w:r w:rsidR="004A1AF2">
        <w:rPr>
          <w:color w:val="000000"/>
        </w:rPr>
        <w:t xml:space="preserve"> </w:t>
      </w:r>
    </w:p>
    <w:p w14:paraId="065BD9F0" w14:textId="0A29B455" w:rsidR="00135E27" w:rsidRDefault="00135E27" w:rsidP="00135E27">
      <w:pPr>
        <w:pBdr>
          <w:top w:val="nil"/>
          <w:left w:val="nil"/>
          <w:bottom w:val="nil"/>
          <w:right w:val="nil"/>
          <w:between w:val="nil"/>
        </w:pBdr>
        <w:spacing w:after="0" w:line="480" w:lineRule="auto"/>
        <w:ind w:firstLine="720"/>
        <w:rPr>
          <w:color w:val="000000"/>
        </w:rPr>
      </w:pPr>
      <w:r>
        <w:t xml:space="preserve">In the 2019-20 academic year, </w:t>
      </w:r>
      <w:r>
        <w:rPr>
          <w:color w:val="000000"/>
        </w:rPr>
        <w:t>UPRS focused attention on crafting guidelines for curriculum committees, deans, and external reviewers.</w:t>
      </w:r>
      <w:r w:rsidR="004A1AF2">
        <w:rPr>
          <w:color w:val="000000"/>
        </w:rPr>
        <w:t xml:space="preserve"> </w:t>
      </w:r>
      <w:r>
        <w:rPr>
          <w:color w:val="000000"/>
        </w:rPr>
        <w:t>The committee had found that feedback from these stakeholders was inconsistent and did not always add appreciably to the review process.</w:t>
      </w:r>
      <w:r w:rsidR="004A1AF2">
        <w:rPr>
          <w:color w:val="000000"/>
        </w:rPr>
        <w:t xml:space="preserve"> </w:t>
      </w:r>
      <w:r>
        <w:rPr>
          <w:color w:val="000000"/>
        </w:rPr>
        <w:t>UPRS carefully reflected on what each stakeholder’s role in the process should ideally be and what insights or information those stakeholders could provide that would be beneficial to program faculty and to UPRS.</w:t>
      </w:r>
      <w:r w:rsidR="004A1AF2">
        <w:rPr>
          <w:color w:val="000000"/>
        </w:rPr>
        <w:t xml:space="preserve"> </w:t>
      </w:r>
      <w:r>
        <w:rPr>
          <w:color w:val="000000"/>
        </w:rPr>
        <w:t xml:space="preserve">This deliberation resulted in a set of brief </w:t>
      </w:r>
      <w:sdt>
        <w:sdtPr>
          <w:tag w:val="goog_rdk_8"/>
          <w:id w:val="-1013835672"/>
        </w:sdtPr>
        <w:sdtContent/>
      </w:sdt>
      <w:sdt>
        <w:sdtPr>
          <w:tag w:val="goog_rdk_9"/>
          <w:id w:val="-1646190948"/>
        </w:sdtPr>
        <w:sdtContent/>
      </w:sdt>
      <w:r>
        <w:rPr>
          <w:color w:val="000000"/>
        </w:rPr>
        <w:t xml:space="preserve">guidelines for each of the three stakeholder groups (curriculum committees, deans, and external reviewers) that align with the framework set forth in the </w:t>
      </w:r>
      <w:r w:rsidR="002C5DBF">
        <w:rPr>
          <w:color w:val="000000"/>
        </w:rPr>
        <w:t>self</w:t>
      </w:r>
      <w:r>
        <w:rPr>
          <w:color w:val="000000"/>
        </w:rPr>
        <w:t>-</w:t>
      </w:r>
      <w:r w:rsidR="002C5DBF">
        <w:rPr>
          <w:color w:val="000000"/>
        </w:rPr>
        <w:t xml:space="preserve">study guide </w:t>
      </w:r>
      <w:r>
        <w:rPr>
          <w:color w:val="000000"/>
        </w:rPr>
        <w:t>and that highlight questions each stakeholder is especially well-positioned to address</w:t>
      </w:r>
      <w:r w:rsidR="00490168">
        <w:rPr>
          <w:color w:val="000000"/>
        </w:rPr>
        <w:t xml:space="preserve"> (</w:t>
      </w:r>
      <w:r w:rsidR="002C5DBF">
        <w:rPr>
          <w:color w:val="000000"/>
        </w:rPr>
        <w:t>s</w:t>
      </w:r>
      <w:r w:rsidR="00490168">
        <w:rPr>
          <w:color w:val="000000"/>
        </w:rPr>
        <w:t xml:space="preserve">ee </w:t>
      </w:r>
      <w:r w:rsidR="00DB2390" w:rsidRPr="004F2E57">
        <w:t>appendix</w:t>
      </w:r>
      <w:r w:rsidR="00490168" w:rsidRPr="004F2E57">
        <w:t xml:space="preserve"> 2</w:t>
      </w:r>
      <w:r w:rsidR="00490168">
        <w:rPr>
          <w:color w:val="000000"/>
        </w:rPr>
        <w:t xml:space="preserve"> for the link</w:t>
      </w:r>
      <w:r w:rsidR="00067DF1">
        <w:rPr>
          <w:color w:val="000000"/>
        </w:rPr>
        <w:t>s</w:t>
      </w:r>
      <w:r w:rsidR="00490168">
        <w:rPr>
          <w:color w:val="000000"/>
        </w:rPr>
        <w:t xml:space="preserve"> to </w:t>
      </w:r>
      <w:r w:rsidR="00067DF1">
        <w:rPr>
          <w:color w:val="000000"/>
        </w:rPr>
        <w:t>i</w:t>
      </w:r>
      <w:r w:rsidR="00490168">
        <w:rPr>
          <w:color w:val="000000"/>
        </w:rPr>
        <w:t>nformation on the external review process)</w:t>
      </w:r>
      <w:r>
        <w:rPr>
          <w:color w:val="000000"/>
        </w:rPr>
        <w:t>. </w:t>
      </w:r>
    </w:p>
    <w:p w14:paraId="4AF54C6E" w14:textId="51DBC0F2" w:rsidR="00570207" w:rsidRPr="00067DF1" w:rsidRDefault="004A1AF2" w:rsidP="00570207">
      <w:pPr>
        <w:pBdr>
          <w:top w:val="nil"/>
          <w:left w:val="nil"/>
          <w:bottom w:val="nil"/>
          <w:right w:val="nil"/>
          <w:between w:val="nil"/>
        </w:pBdr>
        <w:spacing w:after="0" w:line="480" w:lineRule="auto"/>
        <w:ind w:firstLine="720"/>
        <w:rPr>
          <w:color w:val="000000"/>
        </w:rPr>
      </w:pPr>
      <w:r w:rsidRPr="00067DF1">
        <w:rPr>
          <w:color w:val="000000"/>
        </w:rPr>
        <w:t xml:space="preserve">Discussions in UPRS during the 2020-21 academic year have focused on aligning the program review guidelines with the Sonoma State </w:t>
      </w:r>
      <w:r w:rsidR="002C5DBF">
        <w:rPr>
          <w:color w:val="000000"/>
        </w:rPr>
        <w:t>s</w:t>
      </w:r>
      <w:r w:rsidR="002C5DBF" w:rsidRPr="00067DF1">
        <w:rPr>
          <w:color w:val="000000"/>
        </w:rPr>
        <w:t xml:space="preserve">trategic </w:t>
      </w:r>
      <w:r w:rsidR="002C5DBF">
        <w:rPr>
          <w:color w:val="000000"/>
        </w:rPr>
        <w:t>p</w:t>
      </w:r>
      <w:r w:rsidR="002C5DBF" w:rsidRPr="00067DF1">
        <w:rPr>
          <w:color w:val="000000"/>
        </w:rPr>
        <w:t>lan</w:t>
      </w:r>
      <w:r w:rsidRPr="00067DF1">
        <w:rPr>
          <w:color w:val="000000"/>
        </w:rPr>
        <w:t xml:space="preserve">, and changes to the </w:t>
      </w:r>
      <w:r w:rsidR="002C5DBF">
        <w:rPr>
          <w:color w:val="000000"/>
        </w:rPr>
        <w:t>s</w:t>
      </w:r>
      <w:r w:rsidR="002C5DBF" w:rsidRPr="00067DF1">
        <w:rPr>
          <w:color w:val="000000"/>
        </w:rPr>
        <w:t>elf</w:t>
      </w:r>
      <w:r w:rsidRPr="00067DF1">
        <w:rPr>
          <w:color w:val="000000"/>
        </w:rPr>
        <w:t>-</w:t>
      </w:r>
      <w:r w:rsidR="002C5DBF">
        <w:rPr>
          <w:color w:val="000000"/>
        </w:rPr>
        <w:t>s</w:t>
      </w:r>
      <w:r w:rsidR="002C5DBF" w:rsidRPr="00067DF1">
        <w:rPr>
          <w:color w:val="000000"/>
        </w:rPr>
        <w:t xml:space="preserve">tudy </w:t>
      </w:r>
      <w:r w:rsidR="002C5DBF">
        <w:rPr>
          <w:color w:val="000000"/>
        </w:rPr>
        <w:t>g</w:t>
      </w:r>
      <w:r w:rsidR="002C5DBF" w:rsidRPr="00067DF1">
        <w:rPr>
          <w:color w:val="000000"/>
        </w:rPr>
        <w:t xml:space="preserve">uide </w:t>
      </w:r>
      <w:r w:rsidRPr="00067DF1">
        <w:rPr>
          <w:color w:val="000000"/>
        </w:rPr>
        <w:t>may be proposed through governance to highlight that alignment.</w:t>
      </w:r>
    </w:p>
    <w:p w14:paraId="5A0AA3EB" w14:textId="0BD4E18B" w:rsidR="00570207" w:rsidRPr="00570207" w:rsidRDefault="00135E27" w:rsidP="00570207">
      <w:pPr>
        <w:pStyle w:val="Heading2"/>
      </w:pPr>
      <w:r>
        <w:t>Adherence to the Revised Program Review Policy</w:t>
      </w:r>
      <w:r w:rsidR="00570207">
        <w:br/>
      </w:r>
    </w:p>
    <w:p w14:paraId="6A3444FD" w14:textId="42EF44AB" w:rsidR="00135E27" w:rsidRDefault="00135E27" w:rsidP="00135E27">
      <w:pPr>
        <w:spacing w:line="480" w:lineRule="auto"/>
        <w:ind w:firstLine="720"/>
        <w:rPr>
          <w:highlight w:val="white"/>
        </w:rPr>
      </w:pPr>
      <w:r>
        <w:t>UPRS has adhered to the revised program review policy for all program reviews since it was formally implemented.</w:t>
      </w:r>
      <w:r w:rsidR="004A1AF2">
        <w:t xml:space="preserve"> </w:t>
      </w:r>
      <w:r>
        <w:t>The program review process typically takes two years.</w:t>
      </w:r>
      <w:r w:rsidR="004A1AF2">
        <w:t xml:space="preserve"> </w:t>
      </w:r>
      <w:r>
        <w:t xml:space="preserve">In year one, the degree </w:t>
      </w:r>
      <w:r>
        <w:lastRenderedPageBreak/>
        <w:t>program completes its internal program review, writes a self-study document, and brings in an external reviewer.</w:t>
      </w:r>
      <w:r w:rsidR="004A1AF2">
        <w:t xml:space="preserve"> </w:t>
      </w:r>
      <w:r>
        <w:t xml:space="preserve">In year two, the self-study document and the external reviewer’s report are sent to the </w:t>
      </w:r>
      <w:r w:rsidR="00DB2390">
        <w:t>s</w:t>
      </w:r>
      <w:r>
        <w:t xml:space="preserve">chool’s curriculum committee and to the </w:t>
      </w:r>
      <w:r w:rsidR="00DB2390">
        <w:t>s</w:t>
      </w:r>
      <w:r>
        <w:t xml:space="preserve">chool’s </w:t>
      </w:r>
      <w:r w:rsidR="00DB2390">
        <w:t>d</w:t>
      </w:r>
      <w:r>
        <w:t>ean.</w:t>
      </w:r>
      <w:r w:rsidR="004A1AF2">
        <w:t xml:space="preserve"> </w:t>
      </w:r>
      <w:r>
        <w:t>Feedback from both sources is incorporated into the self-study document and then the program has its formal review with</w:t>
      </w:r>
      <w:r>
        <w:rPr>
          <w:highlight w:val="white"/>
        </w:rPr>
        <w:t xml:space="preserve"> UPRS (and graduate degree programs have their documentation reviewed by the </w:t>
      </w:r>
      <w:r w:rsidR="00DB2390">
        <w:rPr>
          <w:highlight w:val="white"/>
        </w:rPr>
        <w:t>g</w:t>
      </w:r>
      <w:r>
        <w:rPr>
          <w:highlight w:val="white"/>
        </w:rPr>
        <w:t xml:space="preserve">raduate </w:t>
      </w:r>
      <w:r w:rsidR="00DB2390">
        <w:rPr>
          <w:highlight w:val="white"/>
        </w:rPr>
        <w:t>s</w:t>
      </w:r>
      <w:r>
        <w:rPr>
          <w:highlight w:val="white"/>
        </w:rPr>
        <w:t xml:space="preserve">tudies </w:t>
      </w:r>
      <w:r w:rsidR="00DB2390">
        <w:rPr>
          <w:highlight w:val="white"/>
        </w:rPr>
        <w:t>s</w:t>
      </w:r>
      <w:r>
        <w:rPr>
          <w:highlight w:val="white"/>
        </w:rPr>
        <w:t>ubcommittee prior to visiting UPRS).</w:t>
      </w:r>
      <w:r w:rsidR="004A1AF2">
        <w:rPr>
          <w:highlight w:val="white"/>
        </w:rPr>
        <w:t xml:space="preserve"> </w:t>
      </w:r>
      <w:r>
        <w:rPr>
          <w:highlight w:val="white"/>
        </w:rPr>
        <w:t xml:space="preserve">UPRS writes its </w:t>
      </w:r>
      <w:r>
        <w:t xml:space="preserve">Findings and Recommendations Report (FAR), and all documentation is forwarded to the </w:t>
      </w:r>
      <w:r w:rsidR="00DB2390">
        <w:t>p</w:t>
      </w:r>
      <w:r>
        <w:t>rovost</w:t>
      </w:r>
      <w:r>
        <w:rPr>
          <w:highlight w:val="white"/>
        </w:rPr>
        <w:t>.</w:t>
      </w:r>
      <w:r w:rsidR="004A1AF2">
        <w:rPr>
          <w:highlight w:val="white"/>
        </w:rPr>
        <w:t xml:space="preserve"> </w:t>
      </w:r>
      <w:r>
        <w:t>Key d</w:t>
      </w:r>
      <w:r>
        <w:rPr>
          <w:highlight w:val="white"/>
        </w:rPr>
        <w:t xml:space="preserve">ocuments from the program review process are posted on the </w:t>
      </w:r>
      <w:r w:rsidR="00DB2390">
        <w:rPr>
          <w:highlight w:val="white"/>
        </w:rPr>
        <w:t>p</w:t>
      </w:r>
      <w:r>
        <w:rPr>
          <w:highlight w:val="white"/>
        </w:rPr>
        <w:t xml:space="preserve">rogram </w:t>
      </w:r>
      <w:r w:rsidR="00DB2390">
        <w:rPr>
          <w:highlight w:val="white"/>
        </w:rPr>
        <w:t>r</w:t>
      </w:r>
      <w:r>
        <w:rPr>
          <w:highlight w:val="white"/>
        </w:rPr>
        <w:t>eview website</w:t>
      </w:r>
      <w:r w:rsidR="0020679B">
        <w:rPr>
          <w:highlight w:val="white"/>
        </w:rPr>
        <w:t xml:space="preserve"> (see </w:t>
      </w:r>
      <w:r w:rsidR="0020679B" w:rsidRPr="00FB5610">
        <w:rPr>
          <w:highlight w:val="white"/>
        </w:rPr>
        <w:t>appendix 2</w:t>
      </w:r>
      <w:r w:rsidR="0020679B">
        <w:rPr>
          <w:highlight w:val="white"/>
        </w:rPr>
        <w:t xml:space="preserve"> for the FAR template)</w:t>
      </w:r>
      <w:r>
        <w:rPr>
          <w:highlight w:val="white"/>
        </w:rPr>
        <w:t>.</w:t>
      </w:r>
    </w:p>
    <w:p w14:paraId="72477D5E" w14:textId="1C7A1052" w:rsidR="00135E27" w:rsidRDefault="00135E27" w:rsidP="00135E27">
      <w:pPr>
        <w:spacing w:line="480" w:lineRule="auto"/>
        <w:ind w:firstLine="720"/>
      </w:pPr>
      <w:r>
        <w:t xml:space="preserve">Following completion of each program review and FAR, the </w:t>
      </w:r>
      <w:r w:rsidR="00DB2390">
        <w:t>p</w:t>
      </w:r>
      <w:r>
        <w:t>rovost</w:t>
      </w:r>
      <w:r w:rsidR="00654B3E">
        <w:t xml:space="preserve"> (or designee)</w:t>
      </w:r>
      <w:r>
        <w:t xml:space="preserve">, </w:t>
      </w:r>
      <w:r w:rsidR="00DB2390">
        <w:t>dean</w:t>
      </w:r>
      <w:r>
        <w:t xml:space="preserve">, and </w:t>
      </w:r>
      <w:r w:rsidR="00DB2390">
        <w:t>d</w:t>
      </w:r>
      <w:r>
        <w:t xml:space="preserve">epartment </w:t>
      </w:r>
      <w:r w:rsidR="00DB2390">
        <w:t>c</w:t>
      </w:r>
      <w:r>
        <w:t>hair meet to discuss the outcomes and the steps to be taken as a result of the review.</w:t>
      </w:r>
      <w:r w:rsidR="004A1AF2">
        <w:t xml:space="preserve"> </w:t>
      </w:r>
      <w:r>
        <w:t>From the discussion, a</w:t>
      </w:r>
      <w:r w:rsidR="002C5DBF">
        <w:t>n</w:t>
      </w:r>
      <w:r>
        <w:t xml:space="preserve"> MOU is prepared </w:t>
      </w:r>
      <w:r w:rsidR="00654B3E">
        <w:t xml:space="preserve">with the help of </w:t>
      </w:r>
      <w:r w:rsidR="00DB2390">
        <w:t>a</w:t>
      </w:r>
      <w:r w:rsidR="00654B3E">
        <w:t xml:space="preserve">cademic </w:t>
      </w:r>
      <w:r w:rsidR="00DB2390">
        <w:t>p</w:t>
      </w:r>
      <w:r w:rsidR="00654B3E">
        <w:t xml:space="preserve">rograms staff </w:t>
      </w:r>
      <w:r>
        <w:t xml:space="preserve">by the </w:t>
      </w:r>
      <w:r w:rsidR="00DB2390">
        <w:t>d</w:t>
      </w:r>
      <w:r>
        <w:t xml:space="preserve">epartment </w:t>
      </w:r>
      <w:r w:rsidR="00DB2390">
        <w:t>c</w:t>
      </w:r>
      <w:r>
        <w:t xml:space="preserve">hair, </w:t>
      </w:r>
      <w:r w:rsidR="00DB2390">
        <w:t>d</w:t>
      </w:r>
      <w:r>
        <w:t xml:space="preserve">ean, and </w:t>
      </w:r>
      <w:r w:rsidR="00DB2390">
        <w:t>p</w:t>
      </w:r>
      <w:r>
        <w:t>rovost to establish common expectations in order to support the program’s continued progress over the subsequent program review cycle</w:t>
      </w:r>
      <w:r w:rsidR="0020679B">
        <w:t xml:space="preserve"> (see </w:t>
      </w:r>
      <w:r w:rsidR="0020679B" w:rsidRPr="00FB5610">
        <w:t>appendix 2</w:t>
      </w:r>
      <w:r w:rsidR="0020679B">
        <w:t xml:space="preserve"> for the MOU template)</w:t>
      </w:r>
      <w:r>
        <w:t>.</w:t>
      </w:r>
      <w:r w:rsidR="004A1AF2">
        <w:t xml:space="preserve"> </w:t>
      </w:r>
      <w:r>
        <w:t>The MOU may also contain commitments for resource allocation.</w:t>
      </w:r>
      <w:r w:rsidR="004A1AF2">
        <w:t xml:space="preserve"> </w:t>
      </w:r>
      <w:r>
        <w:t>This is the stage of the program review process where the campus needs to improve its processes.</w:t>
      </w:r>
      <w:r w:rsidR="004A1AF2">
        <w:t xml:space="preserve"> </w:t>
      </w:r>
      <w:r>
        <w:t xml:space="preserve">In recent years, the requisite MOUs have been drafted, but the final approval by the signatories to the MOU has </w:t>
      </w:r>
      <w:r w:rsidR="00654B3E">
        <w:t>sometimes</w:t>
      </w:r>
      <w:r>
        <w:t xml:space="preserve"> not been accomplished.</w:t>
      </w:r>
      <w:r w:rsidR="004A1AF2">
        <w:t xml:space="preserve"> </w:t>
      </w:r>
      <w:r>
        <w:t>There appear to be two main reasons for not being able to get these MOUs finalized.</w:t>
      </w:r>
      <w:r w:rsidR="004A1AF2">
        <w:t xml:space="preserve"> </w:t>
      </w:r>
      <w:r>
        <w:t>In some cases, the signature step simply slipped away due to busy schedules and other priorities.</w:t>
      </w:r>
      <w:r w:rsidR="004A1AF2">
        <w:t xml:space="preserve"> </w:t>
      </w:r>
      <w:r>
        <w:t>In other cases, the parties were not able to agree on the terms of the MOU.</w:t>
      </w:r>
      <w:r w:rsidR="004A1AF2">
        <w:t xml:space="preserve"> </w:t>
      </w:r>
      <w:r>
        <w:t xml:space="preserve">The </w:t>
      </w:r>
      <w:r w:rsidR="002C5DBF">
        <w:t xml:space="preserve">office </w:t>
      </w:r>
      <w:r w:rsidR="00DB2390">
        <w:t>a</w:t>
      </w:r>
      <w:r>
        <w:t xml:space="preserve">cademic </w:t>
      </w:r>
      <w:r w:rsidR="00DB2390">
        <w:t>p</w:t>
      </w:r>
      <w:r>
        <w:t xml:space="preserve">rograms </w:t>
      </w:r>
      <w:proofErr w:type="gramStart"/>
      <w:r>
        <w:t>recognizes</w:t>
      </w:r>
      <w:proofErr w:type="gramEnd"/>
      <w:r>
        <w:t xml:space="preserve"> that it now needs to enhance its involvement in this last step in order to support all parties in getting the MOUs successfully across the finish line.</w:t>
      </w:r>
      <w:r w:rsidR="004A1AF2">
        <w:t xml:space="preserve"> </w:t>
      </w:r>
    </w:p>
    <w:p w14:paraId="3BA168B9" w14:textId="77777777" w:rsidR="00135E27" w:rsidRDefault="00135E27" w:rsidP="00135E27"/>
    <w:p w14:paraId="3A3B5880" w14:textId="77777777" w:rsidR="00135E27" w:rsidRDefault="00135E27" w:rsidP="00135E27"/>
    <w:p w14:paraId="11BEF16E" w14:textId="77777777" w:rsidR="00135E27" w:rsidRDefault="00135E27" w:rsidP="00135E27"/>
    <w:p w14:paraId="6540D503" w14:textId="77777777" w:rsidR="00135E27" w:rsidRDefault="00135E27" w:rsidP="00135E27"/>
    <w:p w14:paraId="675DC794" w14:textId="16B05909" w:rsidR="00490168" w:rsidRPr="00FF6EE9" w:rsidRDefault="00490168" w:rsidP="00570207">
      <w:pPr>
        <w:pStyle w:val="Heading1"/>
        <w:jc w:val="center"/>
      </w:pPr>
      <w:r w:rsidRPr="00FF6EE9">
        <w:t>SSU’s Follow-up Response to Recommendation #3</w:t>
      </w:r>
    </w:p>
    <w:p w14:paraId="6682CF48" w14:textId="271F752C" w:rsidR="00654B3E" w:rsidRPr="00570207" w:rsidRDefault="00490168" w:rsidP="00FF6EE9">
      <w:pPr>
        <w:spacing w:after="0"/>
        <w:ind w:left="1440" w:right="1440"/>
        <w:jc w:val="center"/>
        <w:rPr>
          <w:rStyle w:val="Emphasis"/>
        </w:rPr>
      </w:pPr>
      <w:r w:rsidRPr="00570207">
        <w:rPr>
          <w:rStyle w:val="Emphasis"/>
        </w:rPr>
        <w:t>[Fully implementing a comprehensive strategic planning process that identifies measurable goals and aligns financial resources with those goals. (CFR 4.6)]</w:t>
      </w:r>
    </w:p>
    <w:p w14:paraId="08540BE6" w14:textId="7CDED35A" w:rsidR="00490168" w:rsidRDefault="00490168" w:rsidP="00227C6E">
      <w:pPr>
        <w:spacing w:after="0"/>
        <w:ind w:left="1440" w:right="1440"/>
        <w:jc w:val="center"/>
        <w:rPr>
          <w:b/>
          <w:u w:val="single"/>
        </w:rPr>
      </w:pPr>
    </w:p>
    <w:p w14:paraId="1B591B0C" w14:textId="79A8CB5F" w:rsidR="00490168" w:rsidRDefault="00490168" w:rsidP="00570207">
      <w:pPr>
        <w:pStyle w:val="Heading2"/>
      </w:pPr>
      <w:r>
        <w:t>SSU’s Strategic Planning Process</w:t>
      </w:r>
      <w:r w:rsidR="00570207">
        <w:br/>
      </w:r>
    </w:p>
    <w:p w14:paraId="446F6071" w14:textId="119C042C" w:rsidR="00490168" w:rsidRDefault="00490168" w:rsidP="00490168">
      <w:pPr>
        <w:spacing w:after="0" w:line="480" w:lineRule="auto"/>
      </w:pPr>
      <w:r>
        <w:tab/>
        <w:t xml:space="preserve">In </w:t>
      </w:r>
      <w:r w:rsidR="00841753">
        <w:t>fall</w:t>
      </w:r>
      <w:r>
        <w:t xml:space="preserve"> 2017, Sonoma State launched an intensive strategic planning process that engaged the campus community in many conversations about the mission, vision, values, and strategic priorities that would define and guide SSU through 2025.</w:t>
      </w:r>
      <w:r w:rsidR="00CB079E">
        <w:t xml:space="preserve"> </w:t>
      </w:r>
      <w:r>
        <w:t xml:space="preserve">At the </w:t>
      </w:r>
      <w:r w:rsidR="00DB2390">
        <w:t>p</w:t>
      </w:r>
      <w:r>
        <w:t xml:space="preserve">resident’s request and in response to the WSCUC site team’s recommendation, the Provost launched the process after discussions with the </w:t>
      </w:r>
      <w:r w:rsidR="00DB2390">
        <w:t>a</w:t>
      </w:r>
      <w:r>
        <w:t xml:space="preserve">cademic </w:t>
      </w:r>
      <w:r w:rsidR="00DB2390">
        <w:t>s</w:t>
      </w:r>
      <w:r>
        <w:t>enate</w:t>
      </w:r>
      <w:r w:rsidR="00DB2390">
        <w:t xml:space="preserve"> e</w:t>
      </w:r>
      <w:r>
        <w:t xml:space="preserve">xecutive </w:t>
      </w:r>
      <w:r w:rsidR="00DB2390">
        <w:t>c</w:t>
      </w:r>
      <w:r>
        <w:t xml:space="preserve">ommittee and </w:t>
      </w:r>
      <w:r w:rsidR="00A15A0A">
        <w:t xml:space="preserve">senators from </w:t>
      </w:r>
      <w:r w:rsidR="00DB2390">
        <w:t>a</w:t>
      </w:r>
      <w:r>
        <w:t xml:space="preserve">ssociated </w:t>
      </w:r>
      <w:r w:rsidR="00DB2390">
        <w:t>s</w:t>
      </w:r>
      <w:r>
        <w:t xml:space="preserve">tudents. A task force was created that was co-chaired by the </w:t>
      </w:r>
      <w:r w:rsidR="00DB2390">
        <w:t>p</w:t>
      </w:r>
      <w:r>
        <w:t xml:space="preserve">rovost and the </w:t>
      </w:r>
      <w:r w:rsidR="00DB2390">
        <w:t>a</w:t>
      </w:r>
      <w:r>
        <w:t xml:space="preserve">cademic </w:t>
      </w:r>
      <w:r w:rsidR="00DB2390">
        <w:t>s</w:t>
      </w:r>
      <w:r>
        <w:t xml:space="preserve">enate </w:t>
      </w:r>
      <w:r w:rsidR="00DB2390">
        <w:t>c</w:t>
      </w:r>
      <w:r>
        <w:t>hair. From the beginning, the task force dedicated itself to a collaborative approach that was designed to ensure broad and diverse representation across all stakeholder groups. Task force membership was built through a nomination process and resulted in the following representatives: 3 faculty, 3 students, 3 staff, and 1 alum/community member (</w:t>
      </w:r>
      <w:r w:rsidR="002C5DBF">
        <w:t>s</w:t>
      </w:r>
      <w:r>
        <w:t xml:space="preserve">ee </w:t>
      </w:r>
      <w:r w:rsidR="00DB2390" w:rsidRPr="00FB5610">
        <w:t>appendix</w:t>
      </w:r>
      <w:r w:rsidRPr="00FB5610">
        <w:t xml:space="preserve"> 3</w:t>
      </w:r>
      <w:r>
        <w:t xml:space="preserve"> for links to </w:t>
      </w:r>
      <w:r w:rsidR="00EB4AD9">
        <w:t xml:space="preserve">the </w:t>
      </w:r>
      <w:r w:rsidR="00DB2390">
        <w:t>SSU</w:t>
      </w:r>
      <w:r w:rsidR="00EB4AD9">
        <w:t xml:space="preserve"> </w:t>
      </w:r>
      <w:r w:rsidR="00DB2390">
        <w:t>s</w:t>
      </w:r>
      <w:r w:rsidR="00EB4AD9">
        <w:t xml:space="preserve">trategic </w:t>
      </w:r>
      <w:r w:rsidR="00DB2390">
        <w:t>p</w:t>
      </w:r>
      <w:r w:rsidR="00EB4AD9">
        <w:t xml:space="preserve">lan, to </w:t>
      </w:r>
      <w:r>
        <w:t>strategic planning process information</w:t>
      </w:r>
      <w:r w:rsidR="00EB4AD9">
        <w:t>,</w:t>
      </w:r>
      <w:r>
        <w:t xml:space="preserve"> </w:t>
      </w:r>
      <w:r w:rsidR="0020679B">
        <w:t xml:space="preserve">the strategic planning timeline, </w:t>
      </w:r>
      <w:r>
        <w:t xml:space="preserve">and </w:t>
      </w:r>
      <w:r w:rsidR="00EB4AD9">
        <w:t xml:space="preserve">to the </w:t>
      </w:r>
      <w:r w:rsidR="0020679B">
        <w:t>s</w:t>
      </w:r>
      <w:r w:rsidR="00EB4AD9">
        <w:t xml:space="preserve">trategic </w:t>
      </w:r>
      <w:r w:rsidR="0020679B">
        <w:t>p</w:t>
      </w:r>
      <w:r w:rsidR="00EB4AD9">
        <w:t xml:space="preserve">lanning </w:t>
      </w:r>
      <w:r w:rsidR="0020679B">
        <w:t>t</w:t>
      </w:r>
      <w:r w:rsidR="00EB4AD9">
        <w:t xml:space="preserve">ask </w:t>
      </w:r>
      <w:r w:rsidR="0020679B">
        <w:t>f</w:t>
      </w:r>
      <w:r w:rsidR="00EB4AD9">
        <w:t xml:space="preserve">orce </w:t>
      </w:r>
      <w:r w:rsidR="00782178">
        <w:t xml:space="preserve">[SPTF] </w:t>
      </w:r>
      <w:r>
        <w:t>membership list).</w:t>
      </w:r>
    </w:p>
    <w:p w14:paraId="7FD3BB05" w14:textId="4E651024" w:rsidR="00490168" w:rsidRDefault="00490168" w:rsidP="00490168">
      <w:pPr>
        <w:tabs>
          <w:tab w:val="left" w:pos="720"/>
        </w:tabs>
        <w:spacing w:after="0" w:line="480" w:lineRule="auto"/>
      </w:pPr>
      <w:r>
        <w:tab/>
        <w:t>The task force was committed to providing numerous input opportunities (both in-person and online) and to using an a</w:t>
      </w:r>
      <w:sdt>
        <w:sdtPr>
          <w:tag w:val="goog_rdk_0"/>
          <w:id w:val="116196915"/>
        </w:sdtPr>
        <w:sdtContent/>
      </w:sdt>
      <w:sdt>
        <w:sdtPr>
          <w:tag w:val="goog_rdk_1"/>
          <w:id w:val="202143862"/>
        </w:sdtPr>
        <w:sdtContent/>
      </w:sdt>
      <w:r>
        <w:t xml:space="preserve">ppreciative inquiry process (i.e., building on the strengths of SSU). The task force was also supported by a </w:t>
      </w:r>
      <w:r w:rsidR="00145C43">
        <w:t>consulting firm</w:t>
      </w:r>
      <w:r>
        <w:t>, Leap Solutions. The strategic planning process was divided in three phases: Share, Shape and Unite (</w:t>
      </w:r>
      <w:r w:rsidR="002C5DBF">
        <w:t>s</w:t>
      </w:r>
      <w:r>
        <w:t xml:space="preserve">ee </w:t>
      </w:r>
      <w:r w:rsidR="00782178" w:rsidRPr="00FB5610">
        <w:t>a</w:t>
      </w:r>
      <w:r w:rsidR="00DB2390" w:rsidRPr="00FB5610">
        <w:t>ppendix</w:t>
      </w:r>
      <w:r w:rsidRPr="00FB5610">
        <w:t xml:space="preserve"> 3</w:t>
      </w:r>
      <w:r>
        <w:t xml:space="preserve"> for link</w:t>
      </w:r>
      <w:r w:rsidR="00EB4AD9">
        <w:t xml:space="preserve"> to information on these phases).</w:t>
      </w:r>
      <w:r>
        <w:t xml:space="preserve"> </w:t>
      </w:r>
    </w:p>
    <w:p w14:paraId="78BAA533" w14:textId="187C9899" w:rsidR="00490168" w:rsidRDefault="00490168" w:rsidP="00DA5365">
      <w:pPr>
        <w:numPr>
          <w:ilvl w:val="0"/>
          <w:numId w:val="4"/>
        </w:numPr>
        <w:pBdr>
          <w:top w:val="nil"/>
          <w:left w:val="nil"/>
          <w:bottom w:val="nil"/>
          <w:right w:val="nil"/>
          <w:between w:val="nil"/>
        </w:pBdr>
        <w:spacing w:after="0" w:line="240" w:lineRule="auto"/>
      </w:pPr>
      <w:r w:rsidRPr="00570207">
        <w:rPr>
          <w:rStyle w:val="Strong"/>
        </w:rPr>
        <w:t>Share phase:</w:t>
      </w:r>
      <w:r>
        <w:rPr>
          <w:color w:val="000000"/>
        </w:rPr>
        <w:t xml:space="preserve"> The task force began this phase with a launch event and an online survey to get input from faculty, staff, students, and community members. Input was also sought from members of five advisory boards and other community members. (December 2017 – February 2018)</w:t>
      </w:r>
      <w:r>
        <w:rPr>
          <w:noProof/>
        </w:rPr>
        <w:drawing>
          <wp:anchor distT="0" distB="0" distL="114300" distR="114300" simplePos="0" relativeHeight="251659264" behindDoc="0" locked="0" layoutInCell="1" hidden="0" allowOverlap="1" wp14:anchorId="09DDDC05" wp14:editId="67849C1A">
            <wp:simplePos x="0" y="0"/>
            <wp:positionH relativeFrom="column">
              <wp:posOffset>4590415</wp:posOffset>
            </wp:positionH>
            <wp:positionV relativeFrom="paragraph">
              <wp:posOffset>35560</wp:posOffset>
            </wp:positionV>
            <wp:extent cx="1971675" cy="726440"/>
            <wp:effectExtent l="0" t="0" r="0" b="0"/>
            <wp:wrapSquare wrapText="bothSides" distT="0" distB="0" distL="114300" distR="114300"/>
            <wp:docPr id="219" name="image2.png" descr="Logo for Share. Share. Unite. Building Our Future @ SSU."/>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971675" cy="726440"/>
                    </a:xfrm>
                    <a:prstGeom prst="rect">
                      <a:avLst/>
                    </a:prstGeom>
                    <a:ln/>
                  </pic:spPr>
                </pic:pic>
              </a:graphicData>
            </a:graphic>
          </wp:anchor>
        </w:drawing>
      </w:r>
    </w:p>
    <w:p w14:paraId="2B60956E" w14:textId="08CCB21D" w:rsidR="00490168" w:rsidRDefault="00490168" w:rsidP="00DA5365">
      <w:pPr>
        <w:numPr>
          <w:ilvl w:val="0"/>
          <w:numId w:val="4"/>
        </w:numPr>
        <w:pBdr>
          <w:top w:val="nil"/>
          <w:left w:val="nil"/>
          <w:bottom w:val="nil"/>
          <w:right w:val="nil"/>
          <w:between w:val="nil"/>
        </w:pBdr>
        <w:spacing w:after="0" w:line="240" w:lineRule="auto"/>
      </w:pPr>
      <w:r w:rsidRPr="001746A9">
        <w:rPr>
          <w:rStyle w:val="Strong"/>
        </w:rPr>
        <w:lastRenderedPageBreak/>
        <w:t>Shape phase:</w:t>
      </w:r>
      <w:r>
        <w:rPr>
          <w:color w:val="000000"/>
        </w:rPr>
        <w:t xml:space="preserve"> During this phase, strategic planning exercises were done in departments, units, schools, and divisions. Everyone was </w:t>
      </w:r>
      <w:r w:rsidR="009E032A">
        <w:rPr>
          <w:color w:val="000000"/>
        </w:rPr>
        <w:t>welcomed</w:t>
      </w:r>
      <w:r>
        <w:rPr>
          <w:color w:val="000000"/>
        </w:rPr>
        <w:t xml:space="preserve"> to participate in this phase, and training was provided. World </w:t>
      </w:r>
      <w:r w:rsidR="00782178">
        <w:rPr>
          <w:color w:val="000000"/>
        </w:rPr>
        <w:t>c</w:t>
      </w:r>
      <w:r>
        <w:rPr>
          <w:color w:val="000000"/>
        </w:rPr>
        <w:t>afés were also held throughout the month of February, generating strong participation from all stakeholder groups. (February – March 2018)</w:t>
      </w:r>
    </w:p>
    <w:p w14:paraId="33517933" w14:textId="0F6CBA95" w:rsidR="00490168" w:rsidRDefault="00490168" w:rsidP="00DA5365">
      <w:pPr>
        <w:numPr>
          <w:ilvl w:val="0"/>
          <w:numId w:val="4"/>
        </w:numPr>
        <w:pBdr>
          <w:top w:val="nil"/>
          <w:left w:val="nil"/>
          <w:bottom w:val="nil"/>
          <w:right w:val="nil"/>
          <w:between w:val="nil"/>
        </w:pBdr>
        <w:spacing w:line="240" w:lineRule="auto"/>
      </w:pPr>
      <w:r w:rsidRPr="001746A9">
        <w:rPr>
          <w:rStyle w:val="Strong"/>
        </w:rPr>
        <w:t>Unite phase:</w:t>
      </w:r>
      <w:r>
        <w:rPr>
          <w:color w:val="000000"/>
        </w:rPr>
        <w:t xml:space="preserve"> During this phase, the task force drafted a plan, shared the data, shared updates about the plan, and responded to requests for more opportunities for feedback.</w:t>
      </w:r>
      <w:r w:rsidR="00CB079E">
        <w:rPr>
          <w:color w:val="000000"/>
        </w:rPr>
        <w:t xml:space="preserve"> </w:t>
      </w:r>
      <w:r>
        <w:rPr>
          <w:color w:val="000000"/>
        </w:rPr>
        <w:t>After processing all input, the task force finalized the plan and shared it with the campus. (April – May 2018)</w:t>
      </w:r>
    </w:p>
    <w:p w14:paraId="57A36401" w14:textId="6BFE079C" w:rsidR="00490168" w:rsidRDefault="00471950" w:rsidP="00490168">
      <w:pPr>
        <w:tabs>
          <w:tab w:val="left" w:pos="720"/>
        </w:tabs>
        <w:spacing w:after="0" w:line="480" w:lineRule="auto"/>
      </w:pPr>
      <w:r>
        <w:tab/>
      </w:r>
      <w:r w:rsidR="00490168">
        <w:t>The task force emphasized inclusivity in the strategic planning process.</w:t>
      </w:r>
      <w:r w:rsidR="00CB079E">
        <w:t xml:space="preserve"> </w:t>
      </w:r>
      <w:r w:rsidR="00490168">
        <w:t>Approximately 30,000 people were invited to participate in the SSU strategic planning process. Nearly 4,000 students, staff, faculty, alumni, and community members participated in the strategic planning process. The entire community was invited to provide feedback on the strategic planning draft before it was finalized. All input was discussed, considered, and analyzed throughout the process. Participation by constituent group was as follows:</w:t>
      </w:r>
    </w:p>
    <w:tbl>
      <w:tblPr>
        <w:tblStyle w:val="TableGrid"/>
        <w:tblW w:w="0" w:type="auto"/>
        <w:tblInd w:w="1165" w:type="dxa"/>
        <w:tblLook w:val="04A0" w:firstRow="1" w:lastRow="0" w:firstColumn="1" w:lastColumn="0" w:noHBand="0" w:noVBand="1"/>
        <w:tblCaption w:val="Strategic Plan Participation Numbers"/>
        <w:tblDescription w:val="A table listing the number of participants and percentage of total participation in the strategic planning process broken down by participant group. "/>
      </w:tblPr>
      <w:tblGrid>
        <w:gridCol w:w="2250"/>
        <w:gridCol w:w="1620"/>
        <w:gridCol w:w="1710"/>
      </w:tblGrid>
      <w:tr w:rsidR="00490168" w:rsidRPr="00940734" w14:paraId="0C23D9E0" w14:textId="77777777" w:rsidTr="007E1714">
        <w:tc>
          <w:tcPr>
            <w:tcW w:w="2250" w:type="dxa"/>
          </w:tcPr>
          <w:p w14:paraId="32406955" w14:textId="77777777" w:rsidR="00490168" w:rsidRPr="00940734" w:rsidRDefault="00490168" w:rsidP="007E1714">
            <w:pPr>
              <w:tabs>
                <w:tab w:val="left" w:pos="720"/>
              </w:tabs>
              <w:rPr>
                <w:b/>
                <w:sz w:val="20"/>
              </w:rPr>
            </w:pPr>
            <w:r w:rsidRPr="00940734">
              <w:rPr>
                <w:b/>
                <w:sz w:val="20"/>
              </w:rPr>
              <w:t>Participant Group</w:t>
            </w:r>
          </w:p>
        </w:tc>
        <w:tc>
          <w:tcPr>
            <w:tcW w:w="1620" w:type="dxa"/>
          </w:tcPr>
          <w:p w14:paraId="6C15BC17" w14:textId="77777777" w:rsidR="00490168" w:rsidRPr="00940734" w:rsidRDefault="00490168" w:rsidP="007E1714">
            <w:pPr>
              <w:tabs>
                <w:tab w:val="left" w:pos="720"/>
              </w:tabs>
              <w:jc w:val="center"/>
              <w:rPr>
                <w:b/>
                <w:sz w:val="20"/>
              </w:rPr>
            </w:pPr>
            <w:r w:rsidRPr="00940734">
              <w:rPr>
                <w:b/>
                <w:sz w:val="20"/>
              </w:rPr>
              <w:t>Number of Participants</w:t>
            </w:r>
          </w:p>
        </w:tc>
        <w:tc>
          <w:tcPr>
            <w:tcW w:w="1710" w:type="dxa"/>
          </w:tcPr>
          <w:p w14:paraId="18DDB2DF" w14:textId="77777777" w:rsidR="00490168" w:rsidRPr="00940734" w:rsidRDefault="00490168" w:rsidP="007E1714">
            <w:pPr>
              <w:tabs>
                <w:tab w:val="left" w:pos="720"/>
              </w:tabs>
              <w:jc w:val="center"/>
              <w:rPr>
                <w:b/>
                <w:sz w:val="20"/>
              </w:rPr>
            </w:pPr>
            <w:r w:rsidRPr="00940734">
              <w:rPr>
                <w:b/>
                <w:sz w:val="20"/>
              </w:rPr>
              <w:t>Percentage of Total Participants</w:t>
            </w:r>
          </w:p>
        </w:tc>
      </w:tr>
      <w:tr w:rsidR="00490168" w14:paraId="7718755A" w14:textId="77777777" w:rsidTr="007E1714">
        <w:tc>
          <w:tcPr>
            <w:tcW w:w="2250" w:type="dxa"/>
          </w:tcPr>
          <w:p w14:paraId="566A1714" w14:textId="77777777" w:rsidR="00490168" w:rsidRPr="00940734" w:rsidRDefault="00490168" w:rsidP="007E1714">
            <w:pPr>
              <w:tabs>
                <w:tab w:val="left" w:pos="720"/>
              </w:tabs>
              <w:rPr>
                <w:sz w:val="20"/>
              </w:rPr>
            </w:pPr>
            <w:r w:rsidRPr="00940734">
              <w:rPr>
                <w:sz w:val="20"/>
              </w:rPr>
              <w:t>Faculty and Staff</w:t>
            </w:r>
          </w:p>
        </w:tc>
        <w:tc>
          <w:tcPr>
            <w:tcW w:w="1620" w:type="dxa"/>
          </w:tcPr>
          <w:p w14:paraId="3F0436A7" w14:textId="77777777" w:rsidR="00490168" w:rsidRPr="00940734" w:rsidRDefault="00490168" w:rsidP="007E1714">
            <w:pPr>
              <w:tabs>
                <w:tab w:val="left" w:pos="720"/>
              </w:tabs>
              <w:jc w:val="center"/>
              <w:rPr>
                <w:sz w:val="20"/>
              </w:rPr>
            </w:pPr>
            <w:r w:rsidRPr="00940734">
              <w:rPr>
                <w:sz w:val="20"/>
              </w:rPr>
              <w:t>1680</w:t>
            </w:r>
          </w:p>
        </w:tc>
        <w:tc>
          <w:tcPr>
            <w:tcW w:w="1710" w:type="dxa"/>
          </w:tcPr>
          <w:p w14:paraId="1FB17D16" w14:textId="77777777" w:rsidR="00490168" w:rsidRPr="00940734" w:rsidRDefault="00490168" w:rsidP="007E1714">
            <w:pPr>
              <w:tabs>
                <w:tab w:val="left" w:pos="720"/>
              </w:tabs>
              <w:jc w:val="center"/>
              <w:rPr>
                <w:sz w:val="20"/>
              </w:rPr>
            </w:pPr>
            <w:r w:rsidRPr="00940734">
              <w:rPr>
                <w:sz w:val="20"/>
              </w:rPr>
              <w:t>44%</w:t>
            </w:r>
          </w:p>
        </w:tc>
      </w:tr>
      <w:tr w:rsidR="00490168" w14:paraId="08E7764E" w14:textId="77777777" w:rsidTr="007E1714">
        <w:tc>
          <w:tcPr>
            <w:tcW w:w="2250" w:type="dxa"/>
          </w:tcPr>
          <w:p w14:paraId="005AFF07" w14:textId="77777777" w:rsidR="00490168" w:rsidRPr="00940734" w:rsidRDefault="00490168" w:rsidP="007E1714">
            <w:pPr>
              <w:tabs>
                <w:tab w:val="left" w:pos="720"/>
              </w:tabs>
              <w:rPr>
                <w:sz w:val="20"/>
              </w:rPr>
            </w:pPr>
            <w:r w:rsidRPr="00940734">
              <w:rPr>
                <w:sz w:val="20"/>
              </w:rPr>
              <w:t>Students</w:t>
            </w:r>
          </w:p>
        </w:tc>
        <w:tc>
          <w:tcPr>
            <w:tcW w:w="1620" w:type="dxa"/>
          </w:tcPr>
          <w:p w14:paraId="3DF65070" w14:textId="77777777" w:rsidR="00490168" w:rsidRPr="00940734" w:rsidRDefault="00490168" w:rsidP="007E1714">
            <w:pPr>
              <w:tabs>
                <w:tab w:val="left" w:pos="720"/>
              </w:tabs>
              <w:jc w:val="center"/>
              <w:rPr>
                <w:sz w:val="20"/>
              </w:rPr>
            </w:pPr>
            <w:r w:rsidRPr="00940734">
              <w:rPr>
                <w:sz w:val="20"/>
              </w:rPr>
              <w:t>1143</w:t>
            </w:r>
          </w:p>
        </w:tc>
        <w:tc>
          <w:tcPr>
            <w:tcW w:w="1710" w:type="dxa"/>
          </w:tcPr>
          <w:p w14:paraId="2D78A890" w14:textId="77777777" w:rsidR="00490168" w:rsidRPr="00940734" w:rsidRDefault="00490168" w:rsidP="007E1714">
            <w:pPr>
              <w:tabs>
                <w:tab w:val="left" w:pos="720"/>
              </w:tabs>
              <w:jc w:val="center"/>
              <w:rPr>
                <w:sz w:val="20"/>
              </w:rPr>
            </w:pPr>
            <w:r w:rsidRPr="00940734">
              <w:rPr>
                <w:sz w:val="20"/>
              </w:rPr>
              <w:t>30%</w:t>
            </w:r>
          </w:p>
        </w:tc>
      </w:tr>
      <w:tr w:rsidR="00490168" w14:paraId="1377246E" w14:textId="77777777" w:rsidTr="007E1714">
        <w:tc>
          <w:tcPr>
            <w:tcW w:w="2250" w:type="dxa"/>
          </w:tcPr>
          <w:p w14:paraId="32B24795" w14:textId="77777777" w:rsidR="00490168" w:rsidRPr="00940734" w:rsidRDefault="00490168" w:rsidP="007E1714">
            <w:pPr>
              <w:tabs>
                <w:tab w:val="left" w:pos="720"/>
              </w:tabs>
              <w:rPr>
                <w:sz w:val="20"/>
              </w:rPr>
            </w:pPr>
            <w:r w:rsidRPr="00940734">
              <w:rPr>
                <w:sz w:val="20"/>
              </w:rPr>
              <w:t>Alumni</w:t>
            </w:r>
          </w:p>
        </w:tc>
        <w:tc>
          <w:tcPr>
            <w:tcW w:w="1620" w:type="dxa"/>
          </w:tcPr>
          <w:p w14:paraId="7C70F046" w14:textId="77777777" w:rsidR="00490168" w:rsidRPr="00940734" w:rsidRDefault="00490168" w:rsidP="007E1714">
            <w:pPr>
              <w:tabs>
                <w:tab w:val="left" w:pos="720"/>
              </w:tabs>
              <w:jc w:val="center"/>
              <w:rPr>
                <w:sz w:val="20"/>
              </w:rPr>
            </w:pPr>
            <w:r w:rsidRPr="00940734">
              <w:rPr>
                <w:sz w:val="20"/>
              </w:rPr>
              <w:t>538</w:t>
            </w:r>
          </w:p>
        </w:tc>
        <w:tc>
          <w:tcPr>
            <w:tcW w:w="1710" w:type="dxa"/>
          </w:tcPr>
          <w:p w14:paraId="13BEA2C5" w14:textId="77777777" w:rsidR="00490168" w:rsidRPr="00940734" w:rsidRDefault="00490168" w:rsidP="007E1714">
            <w:pPr>
              <w:tabs>
                <w:tab w:val="left" w:pos="720"/>
              </w:tabs>
              <w:jc w:val="center"/>
              <w:rPr>
                <w:sz w:val="20"/>
              </w:rPr>
            </w:pPr>
            <w:r w:rsidRPr="00940734">
              <w:rPr>
                <w:sz w:val="20"/>
              </w:rPr>
              <w:t>14%</w:t>
            </w:r>
          </w:p>
        </w:tc>
      </w:tr>
      <w:tr w:rsidR="00490168" w14:paraId="5DD77549" w14:textId="77777777" w:rsidTr="007E1714">
        <w:tc>
          <w:tcPr>
            <w:tcW w:w="2250" w:type="dxa"/>
          </w:tcPr>
          <w:p w14:paraId="5CBD40AA" w14:textId="77777777" w:rsidR="00490168" w:rsidRPr="00940734" w:rsidRDefault="00490168" w:rsidP="007E1714">
            <w:pPr>
              <w:tabs>
                <w:tab w:val="left" w:pos="720"/>
              </w:tabs>
              <w:rPr>
                <w:sz w:val="20"/>
              </w:rPr>
            </w:pPr>
            <w:r>
              <w:rPr>
                <w:sz w:val="20"/>
              </w:rPr>
              <w:t>Multiple Affiliations</w:t>
            </w:r>
          </w:p>
        </w:tc>
        <w:tc>
          <w:tcPr>
            <w:tcW w:w="1620" w:type="dxa"/>
          </w:tcPr>
          <w:p w14:paraId="63669624" w14:textId="77777777" w:rsidR="00490168" w:rsidRPr="00940734" w:rsidRDefault="00490168" w:rsidP="007E1714">
            <w:pPr>
              <w:tabs>
                <w:tab w:val="left" w:pos="720"/>
              </w:tabs>
              <w:jc w:val="center"/>
              <w:rPr>
                <w:sz w:val="20"/>
              </w:rPr>
            </w:pPr>
            <w:r>
              <w:rPr>
                <w:sz w:val="20"/>
              </w:rPr>
              <w:t>336</w:t>
            </w:r>
          </w:p>
        </w:tc>
        <w:tc>
          <w:tcPr>
            <w:tcW w:w="1710" w:type="dxa"/>
          </w:tcPr>
          <w:p w14:paraId="719AE1DB" w14:textId="77777777" w:rsidR="00490168" w:rsidRPr="00940734" w:rsidRDefault="00490168" w:rsidP="007E1714">
            <w:pPr>
              <w:tabs>
                <w:tab w:val="left" w:pos="720"/>
              </w:tabs>
              <w:jc w:val="center"/>
              <w:rPr>
                <w:sz w:val="20"/>
              </w:rPr>
            </w:pPr>
            <w:r>
              <w:rPr>
                <w:sz w:val="20"/>
              </w:rPr>
              <w:t>9%</w:t>
            </w:r>
          </w:p>
        </w:tc>
      </w:tr>
      <w:tr w:rsidR="00490168" w14:paraId="2F4E97A5" w14:textId="77777777" w:rsidTr="007E1714">
        <w:tc>
          <w:tcPr>
            <w:tcW w:w="2250" w:type="dxa"/>
          </w:tcPr>
          <w:p w14:paraId="2DBB4C8F" w14:textId="77777777" w:rsidR="00490168" w:rsidRPr="00940734" w:rsidRDefault="00490168" w:rsidP="007E1714">
            <w:pPr>
              <w:tabs>
                <w:tab w:val="left" w:pos="720"/>
              </w:tabs>
              <w:rPr>
                <w:sz w:val="20"/>
              </w:rPr>
            </w:pPr>
            <w:r w:rsidRPr="00940734">
              <w:rPr>
                <w:sz w:val="20"/>
              </w:rPr>
              <w:t>Community Members</w:t>
            </w:r>
          </w:p>
        </w:tc>
        <w:tc>
          <w:tcPr>
            <w:tcW w:w="1620" w:type="dxa"/>
          </w:tcPr>
          <w:p w14:paraId="0574D807" w14:textId="77777777" w:rsidR="00490168" w:rsidRPr="00940734" w:rsidRDefault="00490168" w:rsidP="007E1714">
            <w:pPr>
              <w:tabs>
                <w:tab w:val="left" w:pos="720"/>
              </w:tabs>
              <w:jc w:val="center"/>
              <w:rPr>
                <w:sz w:val="20"/>
              </w:rPr>
            </w:pPr>
            <w:r>
              <w:rPr>
                <w:sz w:val="20"/>
              </w:rPr>
              <w:t>124</w:t>
            </w:r>
          </w:p>
        </w:tc>
        <w:tc>
          <w:tcPr>
            <w:tcW w:w="1710" w:type="dxa"/>
          </w:tcPr>
          <w:p w14:paraId="6E90425B" w14:textId="77777777" w:rsidR="00490168" w:rsidRPr="00940734" w:rsidRDefault="00490168" w:rsidP="007E1714">
            <w:pPr>
              <w:tabs>
                <w:tab w:val="left" w:pos="720"/>
              </w:tabs>
              <w:jc w:val="center"/>
              <w:rPr>
                <w:sz w:val="20"/>
              </w:rPr>
            </w:pPr>
            <w:r>
              <w:rPr>
                <w:sz w:val="20"/>
              </w:rPr>
              <w:t>3%</w:t>
            </w:r>
          </w:p>
        </w:tc>
      </w:tr>
      <w:tr w:rsidR="00490168" w14:paraId="018F4E78" w14:textId="77777777" w:rsidTr="007E1714">
        <w:tc>
          <w:tcPr>
            <w:tcW w:w="2250" w:type="dxa"/>
          </w:tcPr>
          <w:p w14:paraId="751C4EB5" w14:textId="77777777" w:rsidR="00490168" w:rsidRPr="00940734" w:rsidRDefault="00490168" w:rsidP="007E1714">
            <w:pPr>
              <w:tabs>
                <w:tab w:val="left" w:pos="720"/>
              </w:tabs>
              <w:rPr>
                <w:sz w:val="20"/>
              </w:rPr>
            </w:pPr>
            <w:r>
              <w:rPr>
                <w:sz w:val="20"/>
              </w:rPr>
              <w:t>SSU Board Members</w:t>
            </w:r>
          </w:p>
        </w:tc>
        <w:tc>
          <w:tcPr>
            <w:tcW w:w="1620" w:type="dxa"/>
          </w:tcPr>
          <w:p w14:paraId="5A0477AE" w14:textId="77777777" w:rsidR="00490168" w:rsidRPr="00940734" w:rsidRDefault="00490168" w:rsidP="007E1714">
            <w:pPr>
              <w:tabs>
                <w:tab w:val="left" w:pos="720"/>
              </w:tabs>
              <w:jc w:val="center"/>
              <w:rPr>
                <w:sz w:val="20"/>
              </w:rPr>
            </w:pPr>
            <w:r>
              <w:rPr>
                <w:sz w:val="20"/>
              </w:rPr>
              <w:t>30</w:t>
            </w:r>
          </w:p>
        </w:tc>
        <w:tc>
          <w:tcPr>
            <w:tcW w:w="1710" w:type="dxa"/>
          </w:tcPr>
          <w:p w14:paraId="787026D9" w14:textId="77777777" w:rsidR="00490168" w:rsidRPr="00940734" w:rsidRDefault="00490168" w:rsidP="007E1714">
            <w:pPr>
              <w:tabs>
                <w:tab w:val="left" w:pos="720"/>
              </w:tabs>
              <w:jc w:val="center"/>
              <w:rPr>
                <w:sz w:val="20"/>
              </w:rPr>
            </w:pPr>
            <w:r>
              <w:rPr>
                <w:sz w:val="20"/>
              </w:rPr>
              <w:t>1%</w:t>
            </w:r>
          </w:p>
        </w:tc>
      </w:tr>
    </w:tbl>
    <w:p w14:paraId="71C1F9FA" w14:textId="77777777" w:rsidR="00490168" w:rsidRDefault="00490168" w:rsidP="00490168">
      <w:pPr>
        <w:tabs>
          <w:tab w:val="left" w:pos="720"/>
        </w:tabs>
        <w:spacing w:after="0" w:line="240" w:lineRule="auto"/>
      </w:pPr>
    </w:p>
    <w:p w14:paraId="399FE85A" w14:textId="77777777" w:rsidR="00490168" w:rsidRDefault="00490168" w:rsidP="00490168">
      <w:pPr>
        <w:tabs>
          <w:tab w:val="left" w:pos="720"/>
        </w:tabs>
        <w:spacing w:after="0" w:line="480" w:lineRule="auto"/>
      </w:pPr>
      <w:r>
        <w:tab/>
        <w:t xml:space="preserve">The task force had a strong commitment to inclusive excellence, information sharing, and using an evidence-based approach, as can be seen in the following process features: </w:t>
      </w:r>
    </w:p>
    <w:p w14:paraId="61345238" w14:textId="3B1B890E" w:rsidR="00EB4AD9" w:rsidRDefault="00EB4AD9" w:rsidP="00DA5365">
      <w:pPr>
        <w:numPr>
          <w:ilvl w:val="0"/>
          <w:numId w:val="5"/>
        </w:numPr>
        <w:spacing w:after="0"/>
      </w:pPr>
      <w:r>
        <w:t>The strategic plan was publicly launched at an event on May 9, 2018. Specially designed, Lego-type blocks were given out widely, with the new strategic priorities and values inscribed on them (</w:t>
      </w:r>
      <w:r w:rsidR="002C5DBF">
        <w:t>s</w:t>
      </w:r>
      <w:r>
        <w:t xml:space="preserve">ee </w:t>
      </w:r>
      <w:r w:rsidR="00782178">
        <w:t>a</w:t>
      </w:r>
      <w:r w:rsidR="00DB2390">
        <w:t>ppendix</w:t>
      </w:r>
      <w:r w:rsidRPr="00227C6E">
        <w:t xml:space="preserve"> 3</w:t>
      </w:r>
      <w:r>
        <w:t xml:space="preserve"> for </w:t>
      </w:r>
      <w:r w:rsidR="00782178">
        <w:t>l</w:t>
      </w:r>
      <w:r>
        <w:t>aunch questions and an image of the Lego-type blocks).</w:t>
      </w:r>
    </w:p>
    <w:p w14:paraId="46A1A5BA" w14:textId="393F3DD2" w:rsidR="00490168" w:rsidRDefault="00490168" w:rsidP="00DA5365">
      <w:pPr>
        <w:numPr>
          <w:ilvl w:val="0"/>
          <w:numId w:val="5"/>
        </w:numPr>
        <w:spacing w:after="0"/>
      </w:pPr>
      <w:r>
        <w:t xml:space="preserve">The </w:t>
      </w:r>
      <w:r w:rsidR="00782178">
        <w:t>s</w:t>
      </w:r>
      <w:r>
        <w:t xml:space="preserve">enate </w:t>
      </w:r>
      <w:r w:rsidR="00782178">
        <w:t>c</w:t>
      </w:r>
      <w:r>
        <w:t xml:space="preserve">hair and </w:t>
      </w:r>
      <w:r w:rsidR="00782178">
        <w:t>p</w:t>
      </w:r>
      <w:r>
        <w:t xml:space="preserve">rovost regularly updated the </w:t>
      </w:r>
      <w:r w:rsidR="00782178">
        <w:t xml:space="preserve">academic senate executive committee </w:t>
      </w:r>
      <w:r>
        <w:t xml:space="preserve">and the </w:t>
      </w:r>
      <w:r w:rsidR="00782178">
        <w:t xml:space="preserve">academic senate </w:t>
      </w:r>
      <w:r>
        <w:t>about the progress regarding strategic planning throughout the year.</w:t>
      </w:r>
    </w:p>
    <w:p w14:paraId="425FB307" w14:textId="77777777" w:rsidR="00490168" w:rsidRDefault="00490168" w:rsidP="00DA5365">
      <w:pPr>
        <w:numPr>
          <w:ilvl w:val="0"/>
          <w:numId w:val="5"/>
        </w:numPr>
        <w:spacing w:after="0"/>
      </w:pPr>
      <w:r>
        <w:t>Regular communication with constituent groups and the entire community helped the task force shape a highly inclusive process.</w:t>
      </w:r>
    </w:p>
    <w:p w14:paraId="6C63E0F1" w14:textId="160E9382" w:rsidR="00490168" w:rsidRDefault="00490168" w:rsidP="00DA5365">
      <w:pPr>
        <w:numPr>
          <w:ilvl w:val="0"/>
          <w:numId w:val="5"/>
        </w:numPr>
        <w:spacing w:after="0"/>
      </w:pPr>
      <w:r>
        <w:t>To ensure inclusion and to deliver on the idea of a “data democracy,” the data that was gathered was posted to SSU’s website to make it available to all.</w:t>
      </w:r>
    </w:p>
    <w:p w14:paraId="4EB96FBE" w14:textId="77777777" w:rsidR="00490168" w:rsidRDefault="00490168" w:rsidP="00DA5365">
      <w:pPr>
        <w:numPr>
          <w:ilvl w:val="0"/>
          <w:numId w:val="5"/>
        </w:numPr>
        <w:spacing w:after="0"/>
      </w:pPr>
      <w:r>
        <w:t xml:space="preserve">The task force performed both quantitative and qualitative data analysis and used the analysis to drive the plan. </w:t>
      </w:r>
    </w:p>
    <w:p w14:paraId="3B009EF8" w14:textId="77777777" w:rsidR="00490168" w:rsidRDefault="00490168" w:rsidP="00DA5365">
      <w:pPr>
        <w:numPr>
          <w:ilvl w:val="0"/>
          <w:numId w:val="5"/>
        </w:numPr>
        <w:spacing w:after="0"/>
      </w:pPr>
      <w:r>
        <w:t>Leap Solutions (consultants) supported the data analysis independently and then compared it to the internal SSU data analysis to ensure consistency, in addition to cross-referencing the findings to ensure nothing got missed in the data as the task force started to draft the plan.</w:t>
      </w:r>
    </w:p>
    <w:p w14:paraId="607F4E43" w14:textId="1F52D88C" w:rsidR="00490168" w:rsidRDefault="00490168" w:rsidP="00DA5365">
      <w:pPr>
        <w:numPr>
          <w:ilvl w:val="0"/>
          <w:numId w:val="5"/>
        </w:numPr>
        <w:spacing w:after="0"/>
      </w:pPr>
      <w:r>
        <w:lastRenderedPageBreak/>
        <w:t xml:space="preserve">The task force also listened to feedback and adapted its process along the way. For example, an extra </w:t>
      </w:r>
      <w:r w:rsidR="00782178">
        <w:t>w</w:t>
      </w:r>
      <w:r>
        <w:t xml:space="preserve">orld </w:t>
      </w:r>
      <w:r w:rsidR="00782178">
        <w:t>c</w:t>
      </w:r>
      <w:r>
        <w:t>afé was added in response to students’ requests to have an event that would work with their schedules. Also, the draft of the strategic plan was opened up to the entire community for feedback in April 2018, based on a request for more opportunities for inpu</w:t>
      </w:r>
      <w:r w:rsidR="00EB4AD9">
        <w:t>t (</w:t>
      </w:r>
      <w:r w:rsidR="002C5DBF">
        <w:t xml:space="preserve">see </w:t>
      </w:r>
      <w:r w:rsidR="00782178">
        <w:t>a</w:t>
      </w:r>
      <w:r w:rsidR="00DB2390">
        <w:t>ppendix</w:t>
      </w:r>
      <w:r w:rsidR="00EB4AD9" w:rsidRPr="00227C6E">
        <w:t xml:space="preserve"> 3</w:t>
      </w:r>
      <w:r w:rsidR="00EB4AD9">
        <w:t xml:space="preserve"> for the list of questions from the </w:t>
      </w:r>
      <w:r w:rsidR="00782178">
        <w:t>w</w:t>
      </w:r>
      <w:r w:rsidR="00EB4AD9">
        <w:t xml:space="preserve">orld </w:t>
      </w:r>
      <w:r w:rsidR="00782178">
        <w:t>c</w:t>
      </w:r>
      <w:r w:rsidR="00EB4AD9">
        <w:t>af</w:t>
      </w:r>
      <w:r w:rsidR="00EB4AD9">
        <w:rPr>
          <w:rFonts w:ascii="Calibri" w:hAnsi="Calibri" w:cs="Calibri"/>
        </w:rPr>
        <w:t>é</w:t>
      </w:r>
      <w:r w:rsidR="00EB4AD9">
        <w:t xml:space="preserve">s and an example of data collected at one of the </w:t>
      </w:r>
      <w:r w:rsidR="00782178">
        <w:t>w</w:t>
      </w:r>
      <w:r w:rsidR="00EB4AD9">
        <w:t xml:space="preserve">orld </w:t>
      </w:r>
      <w:r w:rsidR="00782178">
        <w:t>c</w:t>
      </w:r>
      <w:r w:rsidR="00EB4AD9">
        <w:t>af</w:t>
      </w:r>
      <w:r w:rsidR="00EB4AD9">
        <w:rPr>
          <w:rFonts w:ascii="Calibri" w:hAnsi="Calibri" w:cs="Calibri"/>
        </w:rPr>
        <w:t>é</w:t>
      </w:r>
      <w:r w:rsidR="00EB4AD9">
        <w:t>s).</w:t>
      </w:r>
    </w:p>
    <w:p w14:paraId="64546C07" w14:textId="77777777" w:rsidR="004420C9" w:rsidRPr="004420C9" w:rsidRDefault="004420C9" w:rsidP="004420C9">
      <w:pPr>
        <w:spacing w:after="0"/>
        <w:ind w:left="360"/>
      </w:pPr>
    </w:p>
    <w:p w14:paraId="0EEA3D2E" w14:textId="32EA774E" w:rsidR="00490168" w:rsidRDefault="00490168" w:rsidP="00493DA5">
      <w:pPr>
        <w:pStyle w:val="Heading2"/>
      </w:pPr>
      <w:r>
        <w:t>SSU’s Strategic Plan 2025</w:t>
      </w:r>
      <w:r w:rsidR="00493DA5">
        <w:br/>
      </w:r>
    </w:p>
    <w:p w14:paraId="4B39C336" w14:textId="1E84B9C7" w:rsidR="00490168" w:rsidRPr="00871071" w:rsidRDefault="00490168" w:rsidP="00490168">
      <w:pPr>
        <w:tabs>
          <w:tab w:val="left" w:pos="720"/>
        </w:tabs>
        <w:spacing w:after="0" w:line="480" w:lineRule="auto"/>
      </w:pPr>
      <w:r>
        <w:tab/>
      </w:r>
      <w:r w:rsidRPr="00871071">
        <w:t xml:space="preserve">Sonoma State’s </w:t>
      </w:r>
      <w:r w:rsidR="00782178">
        <w:t>s</w:t>
      </w:r>
      <w:r w:rsidR="00782178" w:rsidRPr="00871071">
        <w:t xml:space="preserve">trategic </w:t>
      </w:r>
      <w:r w:rsidR="00782178">
        <w:t>p</w:t>
      </w:r>
      <w:r w:rsidR="00782178" w:rsidRPr="00871071">
        <w:t xml:space="preserve">lan </w:t>
      </w:r>
      <w:r w:rsidRPr="00871071">
        <w:t>2025 is a roadmap</w:t>
      </w:r>
      <w:r w:rsidRPr="00871071">
        <w:rPr>
          <w:b/>
        </w:rPr>
        <w:t xml:space="preserve"> </w:t>
      </w:r>
      <w:r w:rsidRPr="00871071">
        <w:t xml:space="preserve">that the campus </w:t>
      </w:r>
      <w:r w:rsidR="00471950">
        <w:t>actively uses</w:t>
      </w:r>
      <w:r w:rsidRPr="00871071">
        <w:t xml:space="preserve"> to guide budgeting, planning, and continuous improvement efforts.</w:t>
      </w:r>
      <w:r>
        <w:t xml:space="preserve"> </w:t>
      </w:r>
      <w:r w:rsidRPr="00871071">
        <w:t xml:space="preserve">The </w:t>
      </w:r>
      <w:sdt>
        <w:sdtPr>
          <w:tag w:val="goog_rdk_10"/>
          <w:id w:val="-865825265"/>
        </w:sdtPr>
        <w:sdtContent/>
      </w:sdt>
      <w:sdt>
        <w:sdtPr>
          <w:tag w:val="goog_rdk_11"/>
          <w:id w:val="1170759951"/>
        </w:sdtPr>
        <w:sdtContent/>
      </w:sdt>
      <w:r w:rsidRPr="00871071">
        <w:t>mission statement for the new strategic plan is as follows:</w:t>
      </w:r>
      <w:r w:rsidR="00CB079E">
        <w:t xml:space="preserve"> </w:t>
      </w:r>
    </w:p>
    <w:p w14:paraId="3E0AD69C" w14:textId="1BB289E8" w:rsidR="00490168" w:rsidRPr="00871071" w:rsidRDefault="00490168" w:rsidP="00493DA5">
      <w:pPr>
        <w:pStyle w:val="Quote"/>
      </w:pPr>
      <w:r w:rsidRPr="00871071">
        <w:t>Sonoma State is a regionally serving public university committed to educational access and excellence.</w:t>
      </w:r>
      <w:r>
        <w:t xml:space="preserve"> </w:t>
      </w:r>
      <w:r w:rsidRPr="00871071">
        <w:t>Guided by our core values and driven by a commitment to the liberal arts and sciences, Sonoma State delivers high-quality education through innovative programs that leverage the economic, cultural, and natural resources of the North Bay. </w:t>
      </w:r>
      <w:r w:rsidR="00EB4AD9">
        <w:br/>
      </w:r>
    </w:p>
    <w:p w14:paraId="40D7F704" w14:textId="77777777" w:rsidR="00490168" w:rsidRPr="00871071" w:rsidRDefault="00490168" w:rsidP="00490168">
      <w:r w:rsidRPr="00871071">
        <w:t>And this is SSU’s new vision statement:</w:t>
      </w:r>
    </w:p>
    <w:p w14:paraId="108E9537" w14:textId="2B61503D" w:rsidR="00490168" w:rsidRPr="00871071" w:rsidRDefault="00490168" w:rsidP="00493DA5">
      <w:pPr>
        <w:pStyle w:val="Quote"/>
      </w:pPr>
      <w:r w:rsidRPr="00871071">
        <w:t>Sonoma State University embraces innovation in our quest to be a national model for public higher education by 2025.</w:t>
      </w:r>
      <w:r>
        <w:t xml:space="preserve"> </w:t>
      </w:r>
      <w:r w:rsidRPr="00871071">
        <w:t>Our students graduate prepared to meet the challenges of the 21st century and to make an impact in the community and the world.</w:t>
      </w:r>
      <w:r>
        <w:t xml:space="preserve"> </w:t>
      </w:r>
    </w:p>
    <w:p w14:paraId="48FF2689" w14:textId="553F1136" w:rsidR="00490168" w:rsidRDefault="00490168" w:rsidP="00490168">
      <w:pPr>
        <w:spacing w:after="0" w:line="480" w:lineRule="auto"/>
      </w:pPr>
      <w:r>
        <w:t xml:space="preserve">The new strategic plan affirms the </w:t>
      </w:r>
      <w:proofErr w:type="spellStart"/>
      <w:r w:rsidR="0020679B">
        <w:t>s</w:t>
      </w:r>
      <w:r>
        <w:t>eawolf</w:t>
      </w:r>
      <w:proofErr w:type="spellEnd"/>
      <w:r>
        <w:t xml:space="preserve"> </w:t>
      </w:r>
      <w:r w:rsidR="0020679B">
        <w:t>c</w:t>
      </w:r>
      <w:r>
        <w:t xml:space="preserve">ommitment </w:t>
      </w:r>
      <w:r w:rsidR="00782178">
        <w:t xml:space="preserve">(SC) </w:t>
      </w:r>
      <w:r>
        <w:t xml:space="preserve">as an important driver of </w:t>
      </w:r>
      <w:r w:rsidR="00870395">
        <w:t xml:space="preserve">campus </w:t>
      </w:r>
      <w:r>
        <w:t>core values</w:t>
      </w:r>
      <w:r w:rsidR="00EB4AD9">
        <w:t xml:space="preserve"> (</w:t>
      </w:r>
      <w:r w:rsidR="002C5DBF">
        <w:t xml:space="preserve">see </w:t>
      </w:r>
      <w:r w:rsidR="00782178" w:rsidRPr="00FB5610">
        <w:t>a</w:t>
      </w:r>
      <w:r w:rsidR="00DB2390" w:rsidRPr="00FB5610">
        <w:t>ppendix</w:t>
      </w:r>
      <w:r w:rsidR="00EB4AD9" w:rsidRPr="00FB5610">
        <w:t xml:space="preserve"> 3</w:t>
      </w:r>
      <w:r w:rsidR="00EB4AD9">
        <w:t xml:space="preserve"> for a link to </w:t>
      </w:r>
      <w:r w:rsidR="00782178">
        <w:t>the SC</w:t>
      </w:r>
      <w:r w:rsidR="00EB4AD9">
        <w:t>)</w:t>
      </w:r>
      <w:r>
        <w:t xml:space="preserve">. It emphasizes that SSU’s values should be expressed through </w:t>
      </w:r>
      <w:r w:rsidR="00870395">
        <w:t xml:space="preserve">the institution’s </w:t>
      </w:r>
      <w:r>
        <w:t xml:space="preserve">work and in support of all strategic priorities, and it also reaffirms the </w:t>
      </w:r>
      <w:r w:rsidR="00870395">
        <w:t xml:space="preserve">campus’s </w:t>
      </w:r>
      <w:r>
        <w:t>already strong commitment to the following core values</w:t>
      </w:r>
      <w:r w:rsidR="00EB4AD9">
        <w:t xml:space="preserve"> (</w:t>
      </w:r>
      <w:r w:rsidR="002C5DBF">
        <w:t xml:space="preserve">see </w:t>
      </w:r>
      <w:r w:rsidR="00782178" w:rsidRPr="00FB5610">
        <w:t>a</w:t>
      </w:r>
      <w:r w:rsidR="00DB2390" w:rsidRPr="00FB5610">
        <w:t>ppendix</w:t>
      </w:r>
      <w:r w:rsidR="00EB4AD9" w:rsidRPr="00FB5610">
        <w:t xml:space="preserve"> 3</w:t>
      </w:r>
      <w:r w:rsidR="00EB4AD9">
        <w:t xml:space="preserve"> for a table demonstrating how the SSU community ranked these core values in terms of importance)</w:t>
      </w:r>
      <w:r>
        <w:t xml:space="preserve">: </w:t>
      </w:r>
    </w:p>
    <w:p w14:paraId="7F764183" w14:textId="77777777" w:rsidR="00490168" w:rsidRPr="00493DA5" w:rsidRDefault="00490168" w:rsidP="00DA5365">
      <w:pPr>
        <w:numPr>
          <w:ilvl w:val="0"/>
          <w:numId w:val="6"/>
        </w:numPr>
        <w:shd w:val="clear" w:color="auto" w:fill="FFFFFF"/>
        <w:spacing w:after="0" w:line="240" w:lineRule="auto"/>
        <w:ind w:left="1080"/>
        <w:rPr>
          <w:rStyle w:val="Emphasis"/>
        </w:rPr>
      </w:pPr>
      <w:r w:rsidRPr="00493DA5">
        <w:rPr>
          <w:rStyle w:val="Emphasis"/>
        </w:rPr>
        <w:t>Diversity and social justice</w:t>
      </w:r>
    </w:p>
    <w:p w14:paraId="76BC466F" w14:textId="77777777" w:rsidR="00490168" w:rsidRPr="00493DA5" w:rsidRDefault="00490168" w:rsidP="00DA5365">
      <w:pPr>
        <w:numPr>
          <w:ilvl w:val="0"/>
          <w:numId w:val="6"/>
        </w:numPr>
        <w:shd w:val="clear" w:color="auto" w:fill="FFFFFF"/>
        <w:spacing w:after="0" w:line="240" w:lineRule="auto"/>
        <w:ind w:left="1080"/>
        <w:rPr>
          <w:rStyle w:val="Emphasis"/>
        </w:rPr>
      </w:pPr>
      <w:r w:rsidRPr="00493DA5">
        <w:rPr>
          <w:rStyle w:val="Emphasis"/>
        </w:rPr>
        <w:t>Sustainability and environmental inquiry</w:t>
      </w:r>
    </w:p>
    <w:p w14:paraId="2FE6F64E" w14:textId="77777777" w:rsidR="00490168" w:rsidRPr="00493DA5" w:rsidRDefault="00490168" w:rsidP="00DA5365">
      <w:pPr>
        <w:numPr>
          <w:ilvl w:val="0"/>
          <w:numId w:val="6"/>
        </w:numPr>
        <w:shd w:val="clear" w:color="auto" w:fill="FFFFFF"/>
        <w:spacing w:after="0" w:line="240" w:lineRule="auto"/>
        <w:ind w:left="1080"/>
        <w:rPr>
          <w:rStyle w:val="Emphasis"/>
        </w:rPr>
      </w:pPr>
      <w:r w:rsidRPr="00493DA5">
        <w:rPr>
          <w:rStyle w:val="Emphasis"/>
        </w:rPr>
        <w:t>Connectivity and community engagement</w:t>
      </w:r>
    </w:p>
    <w:p w14:paraId="4A83CA0E" w14:textId="77777777" w:rsidR="00490168" w:rsidRPr="00493DA5" w:rsidRDefault="00490168" w:rsidP="00DA5365">
      <w:pPr>
        <w:numPr>
          <w:ilvl w:val="0"/>
          <w:numId w:val="6"/>
        </w:numPr>
        <w:shd w:val="clear" w:color="auto" w:fill="FFFFFF"/>
        <w:spacing w:after="280" w:line="240" w:lineRule="auto"/>
        <w:ind w:left="1080"/>
        <w:rPr>
          <w:rStyle w:val="Emphasis"/>
        </w:rPr>
      </w:pPr>
      <w:r w:rsidRPr="00493DA5">
        <w:rPr>
          <w:rStyle w:val="Emphasis"/>
        </w:rPr>
        <w:t>Adaptability and responsiveness</w:t>
      </w:r>
    </w:p>
    <w:p w14:paraId="31976047" w14:textId="3D7C9E8D" w:rsidR="00654B3E" w:rsidRPr="00871071" w:rsidRDefault="00490168" w:rsidP="00490168">
      <w:pPr>
        <w:spacing w:line="480" w:lineRule="auto"/>
      </w:pPr>
      <w:r w:rsidRPr="00871071">
        <w:lastRenderedPageBreak/>
        <w:tab/>
        <w:t>SSU’s strategic plan has four priorities, which provide a road map for the plan’s implementation in 2018-2025.</w:t>
      </w:r>
      <w:r>
        <w:t xml:space="preserve"> </w:t>
      </w:r>
      <w:r w:rsidRPr="00871071">
        <w:t>Each priority also has supporting themes which elaborate on the priorities and are a reminder of what the data revealed regarding each priority, providing a way to ensure that the details/nuances are carried forward as the plan is implemented</w:t>
      </w:r>
      <w:r w:rsidR="0020679B">
        <w:t xml:space="preserve"> (see </w:t>
      </w:r>
      <w:r w:rsidR="0020679B" w:rsidRPr="00FB5610">
        <w:t>appendix 3</w:t>
      </w:r>
      <w:r w:rsidR="0020679B">
        <w:t xml:space="preserve"> for a link to the strategic priorities and measurable division goals)</w:t>
      </w:r>
      <w:r w:rsidRPr="00871071">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ist and Description of Strategic Priorities "/>
        <w:tblDescription w:val="A table listing the name of each strategic priority and a detailed description of the priority. "/>
      </w:tblPr>
      <w:tblGrid>
        <w:gridCol w:w="2065"/>
        <w:gridCol w:w="7290"/>
      </w:tblGrid>
      <w:tr w:rsidR="00490168" w14:paraId="73FCC419" w14:textId="77777777" w:rsidTr="007E1714">
        <w:tc>
          <w:tcPr>
            <w:tcW w:w="2065" w:type="dxa"/>
          </w:tcPr>
          <w:p w14:paraId="29CFC929" w14:textId="77777777" w:rsidR="00490168" w:rsidRPr="000D23E8" w:rsidRDefault="00490168" w:rsidP="007E1714">
            <w:pPr>
              <w:shd w:val="clear" w:color="auto" w:fill="FFFFFF"/>
              <w:rPr>
                <w:rStyle w:val="Strong"/>
              </w:rPr>
            </w:pPr>
            <w:r w:rsidRPr="000D23E8">
              <w:rPr>
                <w:rStyle w:val="Strong"/>
              </w:rPr>
              <w:t>Strategic Priority</w:t>
            </w:r>
          </w:p>
        </w:tc>
        <w:tc>
          <w:tcPr>
            <w:tcW w:w="7290" w:type="dxa"/>
          </w:tcPr>
          <w:p w14:paraId="2364FAF8" w14:textId="77777777" w:rsidR="00490168" w:rsidRPr="000D23E8" w:rsidRDefault="00490168" w:rsidP="007E1714">
            <w:pPr>
              <w:rPr>
                <w:rStyle w:val="Strong"/>
                <w:highlight w:val="white"/>
              </w:rPr>
            </w:pPr>
            <w:r w:rsidRPr="000D23E8">
              <w:rPr>
                <w:rStyle w:val="Strong"/>
                <w:highlight w:val="white"/>
              </w:rPr>
              <w:t>Description</w:t>
            </w:r>
          </w:p>
        </w:tc>
      </w:tr>
      <w:tr w:rsidR="00490168" w14:paraId="184A9103" w14:textId="77777777" w:rsidTr="007E1714">
        <w:tc>
          <w:tcPr>
            <w:tcW w:w="2065" w:type="dxa"/>
          </w:tcPr>
          <w:p w14:paraId="42FBE247" w14:textId="77777777" w:rsidR="00490168" w:rsidRPr="000D23E8" w:rsidRDefault="00490168" w:rsidP="007E1714">
            <w:pPr>
              <w:shd w:val="clear" w:color="auto" w:fill="FFFFFF"/>
              <w:rPr>
                <w:rStyle w:val="Emphasis"/>
              </w:rPr>
            </w:pPr>
            <w:r w:rsidRPr="000D23E8">
              <w:rPr>
                <w:rStyle w:val="Emphasis"/>
              </w:rPr>
              <w:t>Student Success</w:t>
            </w:r>
          </w:p>
        </w:tc>
        <w:tc>
          <w:tcPr>
            <w:tcW w:w="7290" w:type="dxa"/>
          </w:tcPr>
          <w:p w14:paraId="5424868C" w14:textId="51F2815A" w:rsidR="00490168" w:rsidRPr="00871071" w:rsidRDefault="00490168" w:rsidP="007E1714">
            <w:pPr>
              <w:rPr>
                <w:sz w:val="20"/>
                <w:szCs w:val="20"/>
              </w:rPr>
            </w:pPr>
            <w:r w:rsidRPr="00871071">
              <w:rPr>
                <w:sz w:val="20"/>
                <w:szCs w:val="20"/>
                <w:highlight w:val="white"/>
              </w:rPr>
              <w:t>Sonoma State aspires to be a national model for student success, which includes all aspects of the student experience, from academics to campus life to graduation.</w:t>
            </w:r>
            <w:r>
              <w:rPr>
                <w:sz w:val="20"/>
                <w:szCs w:val="20"/>
                <w:highlight w:val="white"/>
              </w:rPr>
              <w:t xml:space="preserve"> </w:t>
            </w:r>
            <w:r w:rsidRPr="00871071">
              <w:rPr>
                <w:sz w:val="20"/>
                <w:szCs w:val="20"/>
                <w:highlight w:val="white"/>
              </w:rPr>
              <w:t>All members of our campus community have the responsibility to serve students with integrity and to provide the support services students need to succeed. </w:t>
            </w:r>
          </w:p>
        </w:tc>
      </w:tr>
      <w:tr w:rsidR="00490168" w14:paraId="193677D4" w14:textId="77777777" w:rsidTr="007E1714">
        <w:tc>
          <w:tcPr>
            <w:tcW w:w="2065" w:type="dxa"/>
          </w:tcPr>
          <w:p w14:paraId="7FA9E5FF" w14:textId="77777777" w:rsidR="00490168" w:rsidRPr="000D23E8" w:rsidRDefault="00490168" w:rsidP="007E1714">
            <w:pPr>
              <w:shd w:val="clear" w:color="auto" w:fill="FFFFFF"/>
              <w:rPr>
                <w:rStyle w:val="Emphasis"/>
              </w:rPr>
            </w:pPr>
            <w:r w:rsidRPr="000D23E8">
              <w:rPr>
                <w:rStyle w:val="Emphasis"/>
              </w:rPr>
              <w:t>Academic Excellence and Innovation</w:t>
            </w:r>
          </w:p>
        </w:tc>
        <w:tc>
          <w:tcPr>
            <w:tcW w:w="7290" w:type="dxa"/>
          </w:tcPr>
          <w:p w14:paraId="33E95389" w14:textId="7C09A137" w:rsidR="00490168" w:rsidRPr="00871071" w:rsidRDefault="00490168" w:rsidP="007E1714">
            <w:pPr>
              <w:rPr>
                <w:sz w:val="20"/>
                <w:szCs w:val="20"/>
              </w:rPr>
            </w:pPr>
            <w:r w:rsidRPr="00871071">
              <w:rPr>
                <w:sz w:val="20"/>
                <w:szCs w:val="20"/>
                <w:highlight w:val="white"/>
              </w:rPr>
              <w:t>Sonoma State has high-quality, innovative academic programs that prepare students to flourish in a changing workforce and world.</w:t>
            </w:r>
            <w:r>
              <w:rPr>
                <w:sz w:val="20"/>
                <w:szCs w:val="20"/>
                <w:highlight w:val="white"/>
              </w:rPr>
              <w:t xml:space="preserve"> </w:t>
            </w:r>
            <w:r w:rsidRPr="00871071">
              <w:rPr>
                <w:sz w:val="20"/>
                <w:szCs w:val="20"/>
                <w:highlight w:val="white"/>
              </w:rPr>
              <w:t>By educating beyond classroom walls and across disciplines, Sonoma State promotes synergy and creativity in a dynamic educational environment that responds to regional workforce and community needs.</w:t>
            </w:r>
          </w:p>
        </w:tc>
      </w:tr>
      <w:tr w:rsidR="00490168" w14:paraId="74C59939" w14:textId="77777777" w:rsidTr="007E1714">
        <w:tc>
          <w:tcPr>
            <w:tcW w:w="2065" w:type="dxa"/>
          </w:tcPr>
          <w:p w14:paraId="599FB750" w14:textId="77777777" w:rsidR="00490168" w:rsidRPr="000D23E8" w:rsidRDefault="00490168" w:rsidP="007E1714">
            <w:pPr>
              <w:ind w:right="-110"/>
              <w:rPr>
                <w:rStyle w:val="Emphasis"/>
              </w:rPr>
            </w:pPr>
            <w:r w:rsidRPr="000D23E8">
              <w:rPr>
                <w:rStyle w:val="Emphasis"/>
              </w:rPr>
              <w:t>Leadership Cultivation</w:t>
            </w:r>
          </w:p>
        </w:tc>
        <w:tc>
          <w:tcPr>
            <w:tcW w:w="7290" w:type="dxa"/>
          </w:tcPr>
          <w:p w14:paraId="5F4853D9" w14:textId="354F6423" w:rsidR="00490168" w:rsidRPr="00871071" w:rsidRDefault="00490168" w:rsidP="007E1714">
            <w:pPr>
              <w:rPr>
                <w:sz w:val="20"/>
                <w:szCs w:val="20"/>
              </w:rPr>
            </w:pPr>
            <w:r w:rsidRPr="00871071">
              <w:rPr>
                <w:sz w:val="20"/>
                <w:szCs w:val="20"/>
                <w:highlight w:val="white"/>
              </w:rPr>
              <w:t>As the region’s only public four-year university, Sonoma State embraces its leadership role in the North Bay and beyond.</w:t>
            </w:r>
            <w:r>
              <w:rPr>
                <w:sz w:val="20"/>
                <w:szCs w:val="20"/>
                <w:highlight w:val="white"/>
              </w:rPr>
              <w:t xml:space="preserve"> </w:t>
            </w:r>
            <w:r w:rsidRPr="00871071">
              <w:rPr>
                <w:sz w:val="20"/>
                <w:szCs w:val="20"/>
                <w:highlight w:val="white"/>
              </w:rPr>
              <w:t>We prepare the next generation of leaders by providing students with opportunities to learn the knowledge and skills needed to build a better society both locally and globally.</w:t>
            </w:r>
          </w:p>
        </w:tc>
      </w:tr>
      <w:tr w:rsidR="00490168" w14:paraId="080BDCC2" w14:textId="77777777" w:rsidTr="007E1714">
        <w:tc>
          <w:tcPr>
            <w:tcW w:w="2065" w:type="dxa"/>
          </w:tcPr>
          <w:p w14:paraId="5B942767" w14:textId="77777777" w:rsidR="00490168" w:rsidRPr="000D23E8" w:rsidRDefault="00490168" w:rsidP="007E1714">
            <w:pPr>
              <w:rPr>
                <w:rStyle w:val="Emphasis"/>
              </w:rPr>
            </w:pPr>
            <w:r w:rsidRPr="000D23E8">
              <w:rPr>
                <w:rStyle w:val="Emphasis"/>
              </w:rPr>
              <w:t>Transformative Impact</w:t>
            </w:r>
          </w:p>
        </w:tc>
        <w:tc>
          <w:tcPr>
            <w:tcW w:w="7290" w:type="dxa"/>
          </w:tcPr>
          <w:p w14:paraId="5DB87275" w14:textId="2CEB787A" w:rsidR="00490168" w:rsidRPr="00871071" w:rsidRDefault="00490168" w:rsidP="007E1714">
            <w:pPr>
              <w:rPr>
                <w:sz w:val="20"/>
                <w:szCs w:val="20"/>
              </w:rPr>
            </w:pPr>
            <w:r w:rsidRPr="00871071">
              <w:rPr>
                <w:sz w:val="20"/>
                <w:szCs w:val="20"/>
                <w:highlight w:val="white"/>
              </w:rPr>
              <w:t>Sonoma State transforms the lives of students, families, and communities by providing educational access and opportunity to help all students succeed.</w:t>
            </w:r>
            <w:r>
              <w:rPr>
                <w:sz w:val="20"/>
                <w:szCs w:val="20"/>
                <w:highlight w:val="white"/>
              </w:rPr>
              <w:t xml:space="preserve"> </w:t>
            </w:r>
            <w:r w:rsidRPr="00871071">
              <w:rPr>
                <w:sz w:val="20"/>
                <w:szCs w:val="20"/>
                <w:highlight w:val="white"/>
              </w:rPr>
              <w:t>Our faculty and staff work to transform our region, our communities, and our academic disciplines through service, research, programming, and outreach.</w:t>
            </w:r>
            <w:r>
              <w:rPr>
                <w:sz w:val="20"/>
                <w:szCs w:val="20"/>
                <w:highlight w:val="white"/>
              </w:rPr>
              <w:t xml:space="preserve"> </w:t>
            </w:r>
          </w:p>
        </w:tc>
      </w:tr>
    </w:tbl>
    <w:p w14:paraId="4A20A151" w14:textId="77777777" w:rsidR="00490168" w:rsidRDefault="00490168" w:rsidP="00490168"/>
    <w:p w14:paraId="60D98C05" w14:textId="2DFA62D6" w:rsidR="00490168" w:rsidRDefault="00490168" w:rsidP="000D23E8">
      <w:pPr>
        <w:pStyle w:val="Heading2"/>
      </w:pPr>
      <w:r>
        <w:t>Strategic Plan Implementation and Goal Measurement</w:t>
      </w:r>
      <w:r w:rsidR="000D23E8">
        <w:br/>
      </w:r>
    </w:p>
    <w:p w14:paraId="14DD95BA" w14:textId="5754A431" w:rsidR="00490168" w:rsidRDefault="00490168" w:rsidP="00490168">
      <w:pPr>
        <w:tabs>
          <w:tab w:val="left" w:pos="720"/>
        </w:tabs>
        <w:spacing w:after="0" w:line="480" w:lineRule="auto"/>
      </w:pPr>
      <w:r>
        <w:tab/>
        <w:t xml:space="preserve">The implementation of the strategic plan began during the 2018-19 academic year, as campus divisions worked to align their current strategic plans with the new SSU strategic plan (or created new strategic plans) and instituted tracking processes to measure progress toward strategic goals. Each division developed measurable goals and tactics that have been captured on </w:t>
      </w:r>
      <w:r w:rsidR="00C95D93">
        <w:t xml:space="preserve">the </w:t>
      </w:r>
      <w:r>
        <w:t xml:space="preserve">website, as a public commitment to the plan’s priorities. For example, </w:t>
      </w:r>
      <w:r w:rsidR="00782178">
        <w:t xml:space="preserve">academic affairs </w:t>
      </w:r>
      <w:r>
        <w:t>developed these goals and tactics related to the</w:t>
      </w:r>
      <w:r>
        <w:rPr>
          <w:b/>
        </w:rPr>
        <w:t xml:space="preserve"> </w:t>
      </w:r>
      <w:r w:rsidR="0020679B">
        <w:t>s</w:t>
      </w:r>
      <w:r w:rsidRPr="006D7BDB">
        <w:t xml:space="preserve">tudent </w:t>
      </w:r>
      <w:r w:rsidR="0020679B">
        <w:t>s</w:t>
      </w:r>
      <w:r w:rsidRPr="006D7BDB">
        <w:t>uccess</w:t>
      </w:r>
      <w:r>
        <w:t xml:space="preserve"> strategic priority:</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trategic Plan Goals and Tactics"/>
        <w:tblDescription w:val="A table listing the Academic Affairs goals and tactics related to the student success strategic priority. Each goal has multiple tactics."/>
      </w:tblPr>
      <w:tblGrid>
        <w:gridCol w:w="2425"/>
        <w:gridCol w:w="6930"/>
      </w:tblGrid>
      <w:tr w:rsidR="00490168" w14:paraId="1F79DEAB" w14:textId="77777777" w:rsidTr="007E1714">
        <w:trPr>
          <w:trHeight w:val="449"/>
        </w:trPr>
        <w:tc>
          <w:tcPr>
            <w:tcW w:w="2425" w:type="dxa"/>
            <w:vAlign w:val="center"/>
          </w:tcPr>
          <w:p w14:paraId="13C5C85B" w14:textId="77777777" w:rsidR="00490168" w:rsidRDefault="00490168" w:rsidP="007E1714">
            <w:pPr>
              <w:shd w:val="clear" w:color="auto" w:fill="FFFFFF"/>
              <w:rPr>
                <w:b/>
                <w:color w:val="333333"/>
              </w:rPr>
            </w:pPr>
            <w:r>
              <w:rPr>
                <w:b/>
                <w:color w:val="333333"/>
              </w:rPr>
              <w:lastRenderedPageBreak/>
              <w:t>Goal</w:t>
            </w:r>
          </w:p>
        </w:tc>
        <w:tc>
          <w:tcPr>
            <w:tcW w:w="6930" w:type="dxa"/>
            <w:vAlign w:val="center"/>
          </w:tcPr>
          <w:p w14:paraId="25A3FEFC" w14:textId="77777777" w:rsidR="00490168" w:rsidRPr="00EE384A" w:rsidRDefault="00490168" w:rsidP="007E1714">
            <w:pPr>
              <w:rPr>
                <w:rStyle w:val="Strong"/>
                <w:highlight w:val="white"/>
              </w:rPr>
            </w:pPr>
            <w:r w:rsidRPr="00EE384A">
              <w:rPr>
                <w:rStyle w:val="Strong"/>
                <w:highlight w:val="white"/>
              </w:rPr>
              <w:t>Tactics</w:t>
            </w:r>
          </w:p>
        </w:tc>
      </w:tr>
      <w:tr w:rsidR="00490168" w14:paraId="6C0547C2" w14:textId="77777777" w:rsidTr="007E1714">
        <w:tc>
          <w:tcPr>
            <w:tcW w:w="2425" w:type="dxa"/>
            <w:vMerge w:val="restart"/>
            <w:shd w:val="clear" w:color="auto" w:fill="auto"/>
            <w:vAlign w:val="center"/>
          </w:tcPr>
          <w:p w14:paraId="216006C9" w14:textId="77777777" w:rsidR="00490168" w:rsidRPr="00871071" w:rsidRDefault="00490168" w:rsidP="007E1714">
            <w:pPr>
              <w:shd w:val="clear" w:color="auto" w:fill="FFFFFF"/>
              <w:rPr>
                <w:i/>
                <w:sz w:val="20"/>
                <w:szCs w:val="20"/>
              </w:rPr>
            </w:pPr>
            <w:r w:rsidRPr="00871071">
              <w:rPr>
                <w:sz w:val="20"/>
                <w:szCs w:val="20"/>
                <w:highlight w:val="white"/>
              </w:rPr>
              <w:t>Meet SSU's GI2025 graduation and retention goals, including elimination of all equity gaps</w:t>
            </w:r>
          </w:p>
        </w:tc>
        <w:tc>
          <w:tcPr>
            <w:tcW w:w="6930" w:type="dxa"/>
            <w:shd w:val="clear" w:color="auto" w:fill="auto"/>
          </w:tcPr>
          <w:p w14:paraId="7BF11D7D" w14:textId="77777777" w:rsidR="00490168" w:rsidRPr="00871071" w:rsidRDefault="00490168" w:rsidP="007E1714">
            <w:pPr>
              <w:rPr>
                <w:sz w:val="20"/>
                <w:szCs w:val="20"/>
              </w:rPr>
            </w:pPr>
            <w:r w:rsidRPr="00871071">
              <w:rPr>
                <w:sz w:val="20"/>
                <w:szCs w:val="20"/>
                <w:highlight w:val="white"/>
              </w:rPr>
              <w:t>Systematize identification, communication, and training relevant to student success best practices (including advising, scheduling, at-risk student support, etc.)</w:t>
            </w:r>
          </w:p>
        </w:tc>
      </w:tr>
      <w:tr w:rsidR="00490168" w14:paraId="7217ACF1" w14:textId="77777777" w:rsidTr="007E1714">
        <w:tc>
          <w:tcPr>
            <w:tcW w:w="2425" w:type="dxa"/>
            <w:vMerge/>
            <w:shd w:val="clear" w:color="auto" w:fill="auto"/>
            <w:vAlign w:val="center"/>
          </w:tcPr>
          <w:p w14:paraId="219EC75A" w14:textId="77777777" w:rsidR="00490168" w:rsidRPr="00871071" w:rsidRDefault="00490168" w:rsidP="007E1714">
            <w:pPr>
              <w:widowControl w:val="0"/>
              <w:pBdr>
                <w:top w:val="nil"/>
                <w:left w:val="nil"/>
                <w:bottom w:val="nil"/>
                <w:right w:val="nil"/>
                <w:between w:val="nil"/>
              </w:pBdr>
              <w:spacing w:line="276" w:lineRule="auto"/>
              <w:rPr>
                <w:sz w:val="20"/>
                <w:szCs w:val="20"/>
              </w:rPr>
            </w:pPr>
          </w:p>
        </w:tc>
        <w:tc>
          <w:tcPr>
            <w:tcW w:w="6930" w:type="dxa"/>
            <w:shd w:val="clear" w:color="auto" w:fill="auto"/>
          </w:tcPr>
          <w:p w14:paraId="6352947F" w14:textId="77777777" w:rsidR="00490168" w:rsidRPr="00871071" w:rsidRDefault="00490168" w:rsidP="007E1714">
            <w:pPr>
              <w:rPr>
                <w:sz w:val="20"/>
                <w:szCs w:val="20"/>
              </w:rPr>
            </w:pPr>
            <w:r w:rsidRPr="00871071">
              <w:rPr>
                <w:sz w:val="20"/>
                <w:szCs w:val="20"/>
                <w:highlight w:val="white"/>
              </w:rPr>
              <w:t>Implement and support effective student success technology support for improved advising, early warning, and overall student academic support</w:t>
            </w:r>
          </w:p>
        </w:tc>
      </w:tr>
      <w:tr w:rsidR="00490168" w14:paraId="4218CC36" w14:textId="77777777" w:rsidTr="007E1714">
        <w:tc>
          <w:tcPr>
            <w:tcW w:w="2425" w:type="dxa"/>
            <w:vMerge/>
            <w:shd w:val="clear" w:color="auto" w:fill="auto"/>
            <w:vAlign w:val="center"/>
          </w:tcPr>
          <w:p w14:paraId="11528D78" w14:textId="77777777" w:rsidR="00490168" w:rsidRPr="00871071" w:rsidRDefault="00490168" w:rsidP="007E1714">
            <w:pPr>
              <w:widowControl w:val="0"/>
              <w:pBdr>
                <w:top w:val="nil"/>
                <w:left w:val="nil"/>
                <w:bottom w:val="nil"/>
                <w:right w:val="nil"/>
                <w:between w:val="nil"/>
              </w:pBdr>
              <w:spacing w:line="276" w:lineRule="auto"/>
              <w:rPr>
                <w:sz w:val="20"/>
                <w:szCs w:val="20"/>
              </w:rPr>
            </w:pPr>
          </w:p>
        </w:tc>
        <w:tc>
          <w:tcPr>
            <w:tcW w:w="6930" w:type="dxa"/>
            <w:shd w:val="clear" w:color="auto" w:fill="auto"/>
          </w:tcPr>
          <w:p w14:paraId="2709E812" w14:textId="77777777" w:rsidR="00490168" w:rsidRPr="00871071" w:rsidRDefault="00490168" w:rsidP="007E1714">
            <w:pPr>
              <w:rPr>
                <w:sz w:val="20"/>
                <w:szCs w:val="20"/>
                <w:highlight w:val="white"/>
              </w:rPr>
            </w:pPr>
            <w:r w:rsidRPr="00871071">
              <w:rPr>
                <w:sz w:val="20"/>
                <w:szCs w:val="20"/>
                <w:highlight w:val="white"/>
              </w:rPr>
              <w:t>Create and sustain robust tracking systems to enable schools, departments, and programs to interact with correct data sets related to student success</w:t>
            </w:r>
          </w:p>
        </w:tc>
      </w:tr>
      <w:tr w:rsidR="00490168" w14:paraId="370A0365" w14:textId="77777777" w:rsidTr="007E1714">
        <w:tc>
          <w:tcPr>
            <w:tcW w:w="2425" w:type="dxa"/>
            <w:vMerge/>
            <w:shd w:val="clear" w:color="auto" w:fill="auto"/>
            <w:vAlign w:val="center"/>
          </w:tcPr>
          <w:p w14:paraId="4C5F0D02"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shd w:val="clear" w:color="auto" w:fill="auto"/>
          </w:tcPr>
          <w:p w14:paraId="7582D3F3" w14:textId="77777777" w:rsidR="00490168" w:rsidRPr="00871071" w:rsidRDefault="00490168" w:rsidP="007E1714">
            <w:pPr>
              <w:rPr>
                <w:sz w:val="20"/>
                <w:szCs w:val="20"/>
              </w:rPr>
            </w:pPr>
            <w:r w:rsidRPr="00871071">
              <w:rPr>
                <w:sz w:val="20"/>
                <w:szCs w:val="20"/>
                <w:highlight w:val="white"/>
              </w:rPr>
              <w:t>Identify and remove barriers to graduation and timely progress to degree</w:t>
            </w:r>
          </w:p>
        </w:tc>
      </w:tr>
      <w:tr w:rsidR="00490168" w14:paraId="75A42EC5" w14:textId="77777777" w:rsidTr="007E1714">
        <w:tc>
          <w:tcPr>
            <w:tcW w:w="2425" w:type="dxa"/>
            <w:vMerge/>
            <w:shd w:val="clear" w:color="auto" w:fill="auto"/>
            <w:vAlign w:val="center"/>
          </w:tcPr>
          <w:p w14:paraId="163105BF" w14:textId="77777777" w:rsidR="00490168" w:rsidRPr="00871071" w:rsidRDefault="00490168" w:rsidP="007E1714">
            <w:pPr>
              <w:widowControl w:val="0"/>
              <w:pBdr>
                <w:top w:val="nil"/>
                <w:left w:val="nil"/>
                <w:bottom w:val="nil"/>
                <w:right w:val="nil"/>
                <w:between w:val="nil"/>
              </w:pBdr>
              <w:spacing w:line="276" w:lineRule="auto"/>
              <w:rPr>
                <w:sz w:val="20"/>
                <w:szCs w:val="20"/>
              </w:rPr>
            </w:pPr>
          </w:p>
        </w:tc>
        <w:tc>
          <w:tcPr>
            <w:tcW w:w="6930" w:type="dxa"/>
            <w:shd w:val="clear" w:color="auto" w:fill="auto"/>
          </w:tcPr>
          <w:p w14:paraId="71B631DF" w14:textId="7DA6EC5F" w:rsidR="00490168" w:rsidRPr="00871071" w:rsidRDefault="00490168" w:rsidP="007E1714">
            <w:pPr>
              <w:rPr>
                <w:sz w:val="20"/>
                <w:szCs w:val="20"/>
              </w:rPr>
            </w:pPr>
            <w:r w:rsidRPr="00871071">
              <w:rPr>
                <w:sz w:val="20"/>
                <w:szCs w:val="20"/>
                <w:highlight w:val="white"/>
              </w:rPr>
              <w:t xml:space="preserve">Create pathways to graduation that allow students to take all necessary classes in four years (or two for transfers) </w:t>
            </w:r>
          </w:p>
        </w:tc>
      </w:tr>
      <w:tr w:rsidR="00490168" w14:paraId="265C1CE4" w14:textId="77777777" w:rsidTr="007E1714">
        <w:tc>
          <w:tcPr>
            <w:tcW w:w="2425" w:type="dxa"/>
            <w:vMerge/>
            <w:shd w:val="clear" w:color="auto" w:fill="auto"/>
            <w:vAlign w:val="center"/>
          </w:tcPr>
          <w:p w14:paraId="36A33806" w14:textId="77777777" w:rsidR="00490168" w:rsidRPr="00871071" w:rsidRDefault="00490168" w:rsidP="007E1714">
            <w:pPr>
              <w:widowControl w:val="0"/>
              <w:pBdr>
                <w:top w:val="nil"/>
                <w:left w:val="nil"/>
                <w:bottom w:val="nil"/>
                <w:right w:val="nil"/>
                <w:between w:val="nil"/>
              </w:pBdr>
              <w:spacing w:line="276" w:lineRule="auto"/>
              <w:rPr>
                <w:sz w:val="20"/>
                <w:szCs w:val="20"/>
              </w:rPr>
            </w:pPr>
          </w:p>
        </w:tc>
        <w:tc>
          <w:tcPr>
            <w:tcW w:w="6930" w:type="dxa"/>
            <w:shd w:val="clear" w:color="auto" w:fill="auto"/>
          </w:tcPr>
          <w:p w14:paraId="2EA90CC8" w14:textId="77777777" w:rsidR="00490168" w:rsidRPr="00871071" w:rsidRDefault="00490168" w:rsidP="007E1714">
            <w:pPr>
              <w:rPr>
                <w:sz w:val="20"/>
                <w:szCs w:val="20"/>
                <w:highlight w:val="white"/>
              </w:rPr>
            </w:pPr>
            <w:r w:rsidRPr="00871071">
              <w:rPr>
                <w:sz w:val="20"/>
                <w:szCs w:val="20"/>
                <w:highlight w:val="white"/>
              </w:rPr>
              <w:t>Promote service opportunities that include impacts on our own diverse student populations</w:t>
            </w:r>
          </w:p>
        </w:tc>
      </w:tr>
      <w:tr w:rsidR="00490168" w14:paraId="59ECBC6E" w14:textId="77777777" w:rsidTr="007E1714">
        <w:tc>
          <w:tcPr>
            <w:tcW w:w="2425" w:type="dxa"/>
            <w:vMerge/>
            <w:shd w:val="clear" w:color="auto" w:fill="auto"/>
            <w:vAlign w:val="center"/>
          </w:tcPr>
          <w:p w14:paraId="36CD0E33"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shd w:val="clear" w:color="auto" w:fill="auto"/>
          </w:tcPr>
          <w:p w14:paraId="73A69D48" w14:textId="77777777" w:rsidR="00490168" w:rsidRPr="00871071" w:rsidRDefault="00490168" w:rsidP="007E1714">
            <w:pPr>
              <w:rPr>
                <w:sz w:val="20"/>
                <w:szCs w:val="20"/>
                <w:shd w:val="clear" w:color="auto" w:fill="EEEEEE"/>
              </w:rPr>
            </w:pPr>
            <w:r w:rsidRPr="00871071">
              <w:rPr>
                <w:sz w:val="20"/>
                <w:szCs w:val="20"/>
                <w:highlight w:val="white"/>
              </w:rPr>
              <w:t>Increase use of affordable textbook solutions and improve timeliness of textbook orders to ensure students know the full cost of a given class with advance notice</w:t>
            </w:r>
          </w:p>
        </w:tc>
      </w:tr>
      <w:tr w:rsidR="00490168" w14:paraId="1ECFC83E" w14:textId="77777777" w:rsidTr="007E1714">
        <w:tc>
          <w:tcPr>
            <w:tcW w:w="2425" w:type="dxa"/>
            <w:vMerge w:val="restart"/>
            <w:vAlign w:val="center"/>
          </w:tcPr>
          <w:p w14:paraId="6A05A9BD" w14:textId="77777777" w:rsidR="00490168" w:rsidRPr="00871071" w:rsidRDefault="00490168" w:rsidP="007E1714">
            <w:pPr>
              <w:rPr>
                <w:sz w:val="20"/>
                <w:szCs w:val="20"/>
                <w:highlight w:val="white"/>
              </w:rPr>
            </w:pPr>
            <w:r w:rsidRPr="00871071">
              <w:rPr>
                <w:sz w:val="20"/>
                <w:szCs w:val="20"/>
                <w:highlight w:val="white"/>
              </w:rPr>
              <w:t>Create and implement a sustainable A-G (admissions to graduation) student recruitment and support services plan that aligns with SSU's identity as a regionally-serving and Hispanic Serving Institution</w:t>
            </w:r>
          </w:p>
        </w:tc>
        <w:tc>
          <w:tcPr>
            <w:tcW w:w="6930" w:type="dxa"/>
          </w:tcPr>
          <w:p w14:paraId="764DB96F" w14:textId="77777777" w:rsidR="00490168" w:rsidRPr="00871071" w:rsidRDefault="00490168" w:rsidP="007E1714">
            <w:pPr>
              <w:rPr>
                <w:sz w:val="20"/>
                <w:szCs w:val="20"/>
                <w:highlight w:val="white"/>
              </w:rPr>
            </w:pPr>
            <w:r w:rsidRPr="00871071">
              <w:rPr>
                <w:sz w:val="20"/>
                <w:szCs w:val="20"/>
                <w:highlight w:val="white"/>
              </w:rPr>
              <w:t>Create and implement robust, intentional student recruitment plan consistent with SSU's HSI status (including targeted recruitment of Pell eligible, first generation, under-represented minority students) and consonant with our commitment to diversity (including to international student recruitment)</w:t>
            </w:r>
          </w:p>
        </w:tc>
      </w:tr>
      <w:tr w:rsidR="00490168" w14:paraId="165969C4" w14:textId="77777777" w:rsidTr="007E1714">
        <w:tc>
          <w:tcPr>
            <w:tcW w:w="2425" w:type="dxa"/>
            <w:vMerge/>
            <w:vAlign w:val="center"/>
          </w:tcPr>
          <w:p w14:paraId="2441C22D"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tcPr>
          <w:p w14:paraId="09C2EF0D" w14:textId="7E0E4B1C" w:rsidR="00490168" w:rsidRPr="00871071" w:rsidRDefault="00490168" w:rsidP="007E1714">
            <w:pPr>
              <w:rPr>
                <w:sz w:val="20"/>
                <w:szCs w:val="20"/>
                <w:highlight w:val="white"/>
              </w:rPr>
            </w:pPr>
            <w:r w:rsidRPr="00871071">
              <w:rPr>
                <w:sz w:val="20"/>
                <w:szCs w:val="20"/>
                <w:highlight w:val="white"/>
              </w:rPr>
              <w:t>Create and implement an academic student support services plan that includes tutoring (</w:t>
            </w:r>
            <w:r w:rsidR="007912EA">
              <w:t>Learning and Academic Resource Center [</w:t>
            </w:r>
            <w:r w:rsidRPr="00871071">
              <w:rPr>
                <w:sz w:val="20"/>
                <w:szCs w:val="20"/>
                <w:highlight w:val="white"/>
              </w:rPr>
              <w:t>LARC</w:t>
            </w:r>
            <w:r w:rsidR="007912EA">
              <w:rPr>
                <w:sz w:val="20"/>
                <w:szCs w:val="20"/>
                <w:highlight w:val="white"/>
              </w:rPr>
              <w:t>]</w:t>
            </w:r>
            <w:r w:rsidRPr="00871071">
              <w:rPr>
                <w:sz w:val="20"/>
                <w:szCs w:val="20"/>
                <w:highlight w:val="white"/>
              </w:rPr>
              <w:t>), supplemental instruction, and advising support</w:t>
            </w:r>
          </w:p>
        </w:tc>
      </w:tr>
      <w:tr w:rsidR="00490168" w14:paraId="4E3CE7E7" w14:textId="77777777" w:rsidTr="007E1714">
        <w:tc>
          <w:tcPr>
            <w:tcW w:w="2425" w:type="dxa"/>
            <w:vMerge/>
            <w:vAlign w:val="center"/>
          </w:tcPr>
          <w:p w14:paraId="7F3B45D6"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tcPr>
          <w:p w14:paraId="1FF32771" w14:textId="77777777" w:rsidR="00490168" w:rsidRPr="00871071" w:rsidRDefault="00490168" w:rsidP="007E1714">
            <w:pPr>
              <w:rPr>
                <w:sz w:val="20"/>
                <w:szCs w:val="20"/>
                <w:highlight w:val="white"/>
              </w:rPr>
            </w:pPr>
            <w:r w:rsidRPr="00871071">
              <w:rPr>
                <w:sz w:val="20"/>
                <w:szCs w:val="20"/>
                <w:highlight w:val="white"/>
              </w:rPr>
              <w:t>Expand and create programs that build stronger links with P-12 students to improve college preparedness and college attendance</w:t>
            </w:r>
          </w:p>
        </w:tc>
      </w:tr>
      <w:tr w:rsidR="00490168" w14:paraId="2121FE9D" w14:textId="77777777" w:rsidTr="007E1714">
        <w:tc>
          <w:tcPr>
            <w:tcW w:w="2425" w:type="dxa"/>
            <w:vMerge w:val="restart"/>
            <w:vAlign w:val="center"/>
          </w:tcPr>
          <w:p w14:paraId="11995832" w14:textId="77777777" w:rsidR="00490168" w:rsidRPr="00871071" w:rsidRDefault="00490168" w:rsidP="007E1714">
            <w:pPr>
              <w:rPr>
                <w:sz w:val="20"/>
                <w:szCs w:val="20"/>
              </w:rPr>
            </w:pPr>
            <w:r w:rsidRPr="00871071">
              <w:rPr>
                <w:sz w:val="20"/>
                <w:szCs w:val="20"/>
                <w:highlight w:val="white"/>
              </w:rPr>
              <w:t>Modernize SSU's teaching and learning spaces and business processes in support of student success</w:t>
            </w:r>
          </w:p>
        </w:tc>
        <w:tc>
          <w:tcPr>
            <w:tcW w:w="6930" w:type="dxa"/>
          </w:tcPr>
          <w:p w14:paraId="42D93062" w14:textId="77777777" w:rsidR="00490168" w:rsidRPr="00871071" w:rsidRDefault="00490168" w:rsidP="007E1714">
            <w:pPr>
              <w:rPr>
                <w:sz w:val="20"/>
                <w:szCs w:val="20"/>
                <w:shd w:val="clear" w:color="auto" w:fill="EEEEEE"/>
              </w:rPr>
            </w:pPr>
            <w:r w:rsidRPr="00871071">
              <w:rPr>
                <w:sz w:val="20"/>
                <w:szCs w:val="20"/>
                <w:highlight w:val="white"/>
              </w:rPr>
              <w:t>Create and maintain 21st century teaching and learning classroom standards to ensure learning spaces aligned with student and curricular needs</w:t>
            </w:r>
          </w:p>
        </w:tc>
      </w:tr>
      <w:tr w:rsidR="00490168" w14:paraId="4E6C00CC" w14:textId="77777777" w:rsidTr="007E1714">
        <w:tc>
          <w:tcPr>
            <w:tcW w:w="2425" w:type="dxa"/>
            <w:vMerge/>
            <w:vAlign w:val="center"/>
          </w:tcPr>
          <w:p w14:paraId="30318CCD" w14:textId="77777777" w:rsidR="00490168" w:rsidRPr="00871071" w:rsidRDefault="00490168" w:rsidP="007E1714">
            <w:pPr>
              <w:widowControl w:val="0"/>
              <w:pBdr>
                <w:top w:val="nil"/>
                <w:left w:val="nil"/>
                <w:bottom w:val="nil"/>
                <w:right w:val="nil"/>
                <w:between w:val="nil"/>
              </w:pBdr>
              <w:spacing w:line="276" w:lineRule="auto"/>
              <w:rPr>
                <w:sz w:val="20"/>
                <w:szCs w:val="20"/>
                <w:shd w:val="clear" w:color="auto" w:fill="EEEEEE"/>
              </w:rPr>
            </w:pPr>
          </w:p>
        </w:tc>
        <w:tc>
          <w:tcPr>
            <w:tcW w:w="6930" w:type="dxa"/>
          </w:tcPr>
          <w:p w14:paraId="77F35E0D" w14:textId="77777777" w:rsidR="00490168" w:rsidRPr="00871071" w:rsidRDefault="00490168" w:rsidP="007E1714">
            <w:pPr>
              <w:rPr>
                <w:sz w:val="20"/>
                <w:szCs w:val="20"/>
                <w:highlight w:val="white"/>
              </w:rPr>
            </w:pPr>
            <w:r w:rsidRPr="00871071">
              <w:rPr>
                <w:sz w:val="20"/>
                <w:szCs w:val="20"/>
                <w:highlight w:val="white"/>
              </w:rPr>
              <w:t>Streamline relevant business processes to enable more effective navigation of everything from admissions to registration to applications for graduation</w:t>
            </w:r>
          </w:p>
        </w:tc>
      </w:tr>
      <w:tr w:rsidR="00490168" w14:paraId="416368D4" w14:textId="77777777" w:rsidTr="007E1714">
        <w:tc>
          <w:tcPr>
            <w:tcW w:w="2425" w:type="dxa"/>
            <w:vMerge/>
            <w:vAlign w:val="center"/>
          </w:tcPr>
          <w:p w14:paraId="2067777D"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tcPr>
          <w:p w14:paraId="3C5FC709" w14:textId="77777777" w:rsidR="00490168" w:rsidRPr="00871071" w:rsidRDefault="00490168" w:rsidP="007E1714">
            <w:pPr>
              <w:rPr>
                <w:sz w:val="20"/>
                <w:szCs w:val="20"/>
                <w:highlight w:val="white"/>
              </w:rPr>
            </w:pPr>
            <w:r w:rsidRPr="00871071">
              <w:rPr>
                <w:sz w:val="20"/>
                <w:szCs w:val="20"/>
                <w:highlight w:val="white"/>
              </w:rPr>
              <w:t>Modernize and automate intake of transfer records</w:t>
            </w:r>
          </w:p>
        </w:tc>
      </w:tr>
      <w:tr w:rsidR="00490168" w14:paraId="700F988F" w14:textId="77777777" w:rsidTr="007E1714">
        <w:tc>
          <w:tcPr>
            <w:tcW w:w="2425" w:type="dxa"/>
            <w:vMerge/>
            <w:vAlign w:val="center"/>
          </w:tcPr>
          <w:p w14:paraId="1DB96E93"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tcPr>
          <w:p w14:paraId="6DD3C3E8" w14:textId="77777777" w:rsidR="00490168" w:rsidRPr="00871071" w:rsidRDefault="00490168" w:rsidP="007E1714">
            <w:pPr>
              <w:rPr>
                <w:sz w:val="20"/>
                <w:szCs w:val="20"/>
                <w:highlight w:val="white"/>
              </w:rPr>
            </w:pPr>
            <w:r w:rsidRPr="00871071">
              <w:rPr>
                <w:sz w:val="20"/>
                <w:szCs w:val="20"/>
                <w:highlight w:val="white"/>
              </w:rPr>
              <w:t>Modernize and automate course substitution and course petition forms</w:t>
            </w:r>
          </w:p>
        </w:tc>
      </w:tr>
      <w:tr w:rsidR="00490168" w14:paraId="2E8ACCFC" w14:textId="77777777" w:rsidTr="007E1714">
        <w:tc>
          <w:tcPr>
            <w:tcW w:w="2425" w:type="dxa"/>
            <w:vMerge/>
            <w:vAlign w:val="center"/>
          </w:tcPr>
          <w:p w14:paraId="215C9AC4" w14:textId="77777777" w:rsidR="00490168" w:rsidRPr="00871071" w:rsidRDefault="00490168" w:rsidP="007E1714">
            <w:pPr>
              <w:widowControl w:val="0"/>
              <w:pBdr>
                <w:top w:val="nil"/>
                <w:left w:val="nil"/>
                <w:bottom w:val="nil"/>
                <w:right w:val="nil"/>
                <w:between w:val="nil"/>
              </w:pBdr>
              <w:spacing w:line="276" w:lineRule="auto"/>
              <w:rPr>
                <w:sz w:val="20"/>
                <w:szCs w:val="20"/>
                <w:highlight w:val="white"/>
              </w:rPr>
            </w:pPr>
          </w:p>
        </w:tc>
        <w:tc>
          <w:tcPr>
            <w:tcW w:w="6930" w:type="dxa"/>
          </w:tcPr>
          <w:p w14:paraId="78AA0B92" w14:textId="77777777" w:rsidR="00490168" w:rsidRPr="00871071" w:rsidRDefault="00490168" w:rsidP="007E1714">
            <w:pPr>
              <w:rPr>
                <w:sz w:val="20"/>
                <w:szCs w:val="20"/>
                <w:shd w:val="clear" w:color="auto" w:fill="EEEEEE"/>
              </w:rPr>
            </w:pPr>
            <w:r w:rsidRPr="00871071">
              <w:rPr>
                <w:sz w:val="20"/>
                <w:szCs w:val="20"/>
                <w:highlight w:val="white"/>
              </w:rPr>
              <w:t>Create and implement electronic transfer request system</w:t>
            </w:r>
          </w:p>
        </w:tc>
      </w:tr>
    </w:tbl>
    <w:p w14:paraId="1DE6BD96" w14:textId="77777777" w:rsidR="00490168" w:rsidRDefault="00490168" w:rsidP="00490168">
      <w:pPr>
        <w:shd w:val="clear" w:color="auto" w:fill="FFFFFF"/>
        <w:spacing w:after="0" w:line="240" w:lineRule="auto"/>
        <w:rPr>
          <w:color w:val="333333"/>
        </w:rPr>
      </w:pPr>
    </w:p>
    <w:p w14:paraId="3803D565" w14:textId="180A6725" w:rsidR="00490168" w:rsidRDefault="00490168" w:rsidP="00490168">
      <w:pPr>
        <w:shd w:val="clear" w:color="auto" w:fill="FFFFFF"/>
        <w:spacing w:after="0" w:line="480" w:lineRule="auto"/>
      </w:pPr>
      <w:r>
        <w:rPr>
          <w:color w:val="333333"/>
        </w:rPr>
        <w:t>The measurable goals and tactics for each division are posted on SSU’s strategic plan website, as well as t</w:t>
      </w:r>
      <w:r>
        <w:t>he strategic plans for each division</w:t>
      </w:r>
      <w:r w:rsidR="00EB4AD9">
        <w:t xml:space="preserve"> (</w:t>
      </w:r>
      <w:r w:rsidR="002C5DBF">
        <w:t xml:space="preserve">see </w:t>
      </w:r>
      <w:r w:rsidR="00782178" w:rsidRPr="00FB5610">
        <w:t>a</w:t>
      </w:r>
      <w:r w:rsidR="00DB2390" w:rsidRPr="00FB5610">
        <w:t>ppendix</w:t>
      </w:r>
      <w:r w:rsidR="00EB4AD9" w:rsidRPr="00FB5610">
        <w:t xml:space="preserve"> </w:t>
      </w:r>
      <w:r w:rsidR="00625CC3" w:rsidRPr="00FB5610">
        <w:t>3</w:t>
      </w:r>
      <w:r w:rsidR="00EB4AD9">
        <w:t xml:space="preserve"> for links to these divisional strategic plans)</w:t>
      </w:r>
      <w:r>
        <w:t xml:space="preserve">. </w:t>
      </w:r>
      <w:sdt>
        <w:sdtPr>
          <w:tag w:val="goog_rdk_13"/>
          <w:id w:val="1210373895"/>
        </w:sdtPr>
        <w:sdtContent/>
      </w:sdt>
      <w:sdt>
        <w:sdtPr>
          <w:tag w:val="goog_rdk_14"/>
          <w:id w:val="-2000020195"/>
        </w:sdtPr>
        <w:sdtContent/>
      </w:sdt>
      <w:sdt>
        <w:sdtPr>
          <w:tag w:val="goog_rdk_15"/>
          <w:id w:val="567692007"/>
        </w:sdtPr>
        <w:sdtContent/>
      </w:sdt>
      <w:r>
        <w:t xml:space="preserve">Each division is tracking progress on its goals, and many are employing the Smartsheet tool to aid with </w:t>
      </w:r>
      <w:r>
        <w:lastRenderedPageBreak/>
        <w:t>tracking and the annual reporting of results</w:t>
      </w:r>
      <w:r w:rsidR="00B90E8C">
        <w:t xml:space="preserve"> </w:t>
      </w:r>
      <w:r w:rsidR="007E1714">
        <w:t>(</w:t>
      </w:r>
      <w:r w:rsidR="002C5DBF">
        <w:t xml:space="preserve">see </w:t>
      </w:r>
      <w:r w:rsidR="00782178" w:rsidRPr="00FB5610">
        <w:t>a</w:t>
      </w:r>
      <w:r w:rsidR="00DB2390" w:rsidRPr="00FB5610">
        <w:t>ppendix</w:t>
      </w:r>
      <w:r w:rsidR="007E1714" w:rsidRPr="00FB5610">
        <w:t xml:space="preserve"> 3</w:t>
      </w:r>
      <w:r w:rsidR="007E1714">
        <w:t xml:space="preserve"> for an example of Smart</w:t>
      </w:r>
      <w:r w:rsidR="007912EA">
        <w:t>s</w:t>
      </w:r>
      <w:r w:rsidR="007E1714">
        <w:t>heet progress tracking)</w:t>
      </w:r>
      <w:r>
        <w:t>.</w:t>
      </w:r>
    </w:p>
    <w:p w14:paraId="061E5C7C" w14:textId="2735E849" w:rsidR="00490168" w:rsidRDefault="00490168" w:rsidP="00490168">
      <w:pPr>
        <w:shd w:val="clear" w:color="auto" w:fill="FFFFFF"/>
        <w:spacing w:after="0" w:line="480" w:lineRule="auto"/>
        <w:ind w:firstLine="720"/>
      </w:pPr>
      <w:r>
        <w:t>The implementation process continued into the 2019-20 academic year. To support the implementation process, training was offered to</w:t>
      </w:r>
      <w:r w:rsidR="00C95D93">
        <w:t xml:space="preserve"> </w:t>
      </w:r>
      <w:r>
        <w:t>leadership, boards, chairs, and others on how to implement the strategic plan. Once the divisions had developed their implementation plans, the units within those divisions began creating their own implementation plans in alignment with their respective division’s plan. All plans are expected to have goals, strategies, and metrics, so progress can be measured and tracked. Between 2019 and 2025, the emphasis will be on</w:t>
      </w:r>
      <w:sdt>
        <w:sdtPr>
          <w:tag w:val="goog_rdk_16"/>
          <w:id w:val="254030682"/>
        </w:sdtPr>
        <w:sdtContent/>
      </w:sdt>
      <w:r>
        <w:t xml:space="preserve"> assessing and measuring progress annually in the various divisions and units and adapting goals when necessary to adjust for changing circumstances.</w:t>
      </w:r>
      <w:r w:rsidR="00CB079E">
        <w:t xml:space="preserve"> </w:t>
      </w:r>
    </w:p>
    <w:p w14:paraId="5FE36D29" w14:textId="3F38607B" w:rsidR="00737629" w:rsidRDefault="00490168" w:rsidP="00641A86">
      <w:pPr>
        <w:pStyle w:val="Heading2"/>
      </w:pPr>
      <w:r>
        <w:t>Alignment of Financial Resources with SSU’s Strategic Plan 2025</w:t>
      </w:r>
    </w:p>
    <w:p w14:paraId="70DA1EEE" w14:textId="77777777" w:rsidR="00641A86" w:rsidRPr="00641A86" w:rsidRDefault="00641A86" w:rsidP="00641A86"/>
    <w:p w14:paraId="77579A2F" w14:textId="092FFF04" w:rsidR="00490168" w:rsidRDefault="00737629" w:rsidP="00490168">
      <w:pPr>
        <w:tabs>
          <w:tab w:val="left" w:pos="720"/>
        </w:tabs>
        <w:spacing w:after="0" w:line="480" w:lineRule="auto"/>
      </w:pPr>
      <w:r>
        <w:tab/>
      </w:r>
      <w:r w:rsidR="00471950">
        <w:t xml:space="preserve">Sonoma State’s communication, transparency, and strategic alignment of the campus budgeting process have undergone a major transformation since the WSCUC team visited in </w:t>
      </w:r>
      <w:r w:rsidR="00841753">
        <w:t>fall</w:t>
      </w:r>
      <w:r w:rsidR="00471950">
        <w:t xml:space="preserve"> 2017</w:t>
      </w:r>
      <w:r w:rsidR="001741C8">
        <w:t xml:space="preserve"> (see </w:t>
      </w:r>
      <w:r w:rsidR="001741C8" w:rsidRPr="000E2AA0">
        <w:t>appendix 3</w:t>
      </w:r>
      <w:r w:rsidR="001741C8">
        <w:t xml:space="preserve"> for the link to SSU’s budget and planning homepage)</w:t>
      </w:r>
      <w:r w:rsidR="00471950">
        <w:t xml:space="preserve">. </w:t>
      </w:r>
      <w:r w:rsidR="00490168">
        <w:t xml:space="preserve">SSU began aligning its budget to the campus’ new strategic priorities during the first implementation year by building the campus strategic budgeting framework composed of the annual budget call, the implementation of the </w:t>
      </w:r>
      <w:proofErr w:type="spellStart"/>
      <w:r w:rsidR="00490168">
        <w:t>Questica</w:t>
      </w:r>
      <w:proofErr w:type="spellEnd"/>
      <w:r w:rsidR="00490168">
        <w:t xml:space="preserve"> budgeting software, the </w:t>
      </w:r>
      <w:r w:rsidR="00782178">
        <w:t>university operating fund reserve policy</w:t>
      </w:r>
      <w:r w:rsidR="00490168">
        <w:t>, and a commitment to budget transparency and communication</w:t>
      </w:r>
      <w:r w:rsidR="007E1714">
        <w:t xml:space="preserve"> (</w:t>
      </w:r>
      <w:r w:rsidR="002C5DBF">
        <w:t xml:space="preserve">see </w:t>
      </w:r>
      <w:r w:rsidR="00782178" w:rsidRPr="000E2AA0">
        <w:t>a</w:t>
      </w:r>
      <w:r w:rsidR="00DB2390" w:rsidRPr="000E2AA0">
        <w:t>ppendix</w:t>
      </w:r>
      <w:r w:rsidR="007E1714" w:rsidRPr="000E2AA0">
        <w:t xml:space="preserve"> 3</w:t>
      </w:r>
      <w:r w:rsidR="007E1714">
        <w:t xml:space="preserve"> for a more detailed description of strategic budgeting</w:t>
      </w:r>
      <w:r w:rsidR="0020679B">
        <w:t xml:space="preserve"> in the document sent to all divisions at the end of the appendix</w:t>
      </w:r>
      <w:r w:rsidR="007E1714">
        <w:t>)</w:t>
      </w:r>
      <w:r w:rsidR="00490168">
        <w:t xml:space="preserve">. The first annual budget call was implemented in the 2018-19 academic year. The process transitioned the previous top-down-only budgeting approach to one that incorporates individual campus unit planning. A new budget planning template gave campus units the opportunity to examine their budgets on an annual basis and make any adjustments needed to support the strategic plan. In 2019-20, the annual budget call was integrated into the </w:t>
      </w:r>
      <w:proofErr w:type="spellStart"/>
      <w:r w:rsidR="00490168">
        <w:t>Questica</w:t>
      </w:r>
      <w:proofErr w:type="spellEnd"/>
      <w:r w:rsidR="00490168">
        <w:t xml:space="preserve"> budgeting software to enable greater transparency of the budget as well as unit-based </w:t>
      </w:r>
      <w:r w:rsidR="00490168">
        <w:lastRenderedPageBreak/>
        <w:t xml:space="preserve">assessment and measurement of annual goals. </w:t>
      </w:r>
      <w:sdt>
        <w:sdtPr>
          <w:tag w:val="goog_rdk_27"/>
          <w:id w:val="2109775046"/>
        </w:sdtPr>
        <w:sdtContent/>
      </w:sdt>
      <w:r w:rsidR="00490168">
        <w:t xml:space="preserve">The </w:t>
      </w:r>
      <w:r w:rsidR="002C5DBF">
        <w:t xml:space="preserve">president’s budget advisory committee </w:t>
      </w:r>
      <w:r w:rsidR="00490168">
        <w:t xml:space="preserve">(PBAC) and the division-based budget resource groups worked to help units report on their resource alignment with campus priorities. </w:t>
      </w:r>
      <w:sdt>
        <w:sdtPr>
          <w:tag w:val="goog_rdk_28"/>
          <w:id w:val="-67120178"/>
        </w:sdtPr>
        <w:sdtContent/>
      </w:sdt>
      <w:r w:rsidR="00490168">
        <w:t xml:space="preserve">The integration into </w:t>
      </w:r>
      <w:proofErr w:type="spellStart"/>
      <w:r w:rsidR="00490168">
        <w:t>Questica</w:t>
      </w:r>
      <w:proofErr w:type="spellEnd"/>
      <w:r w:rsidR="00490168">
        <w:t xml:space="preserve"> also expanded reporting beyond just stateside funds towards a campus-wide all-funds budgeting approach. While this expansion is still in progress, the goal is to help in eventually incorporating a process to tie </w:t>
      </w:r>
      <w:r>
        <w:t>auxiliary and self-support budget planning into the strategic planning process. The expansion also aims to delineate “base” budget allocations from “one-time” allocations to ensure funds are reallocated each year in ways that closely support strategic priorities.</w:t>
      </w:r>
    </w:p>
    <w:p w14:paraId="76C2EC6A" w14:textId="4DF1DE22" w:rsidR="00490168" w:rsidRDefault="00490168" w:rsidP="00490168">
      <w:pPr>
        <w:tabs>
          <w:tab w:val="left" w:pos="720"/>
        </w:tabs>
        <w:spacing w:after="0" w:line="480" w:lineRule="auto"/>
      </w:pPr>
      <w:r>
        <w:tab/>
        <w:t xml:space="preserve">Campus involvement and conversation about SSU’s budget have grown significantly since 2017. Two </w:t>
      </w:r>
      <w:r w:rsidR="00782178">
        <w:t xml:space="preserve">campus budget forums </w:t>
      </w:r>
      <w:r>
        <w:t>were held in 2018-19, building on the practice that was initiated in 2017-18. The forums are open to the entire campus community and include</w:t>
      </w:r>
      <w:r w:rsidR="007E1714">
        <w:t>d</w:t>
      </w:r>
      <w:r>
        <w:t xml:space="preserve"> presentations as well as roundtable discussions hosted by members of </w:t>
      </w:r>
      <w:r w:rsidR="00782178">
        <w:t>PBAC</w:t>
      </w:r>
      <w:r>
        <w:t xml:space="preserve"> to gather feedback and encourage dialogue around the topic of strategic budgeting. The </w:t>
      </w:r>
      <w:r w:rsidR="00841753">
        <w:t>fall</w:t>
      </w:r>
      <w:r>
        <w:t xml:space="preserve"> 2018 forum focused on the topics of </w:t>
      </w:r>
      <w:r w:rsidR="00782178">
        <w:t xml:space="preserve">university </w:t>
      </w:r>
      <w:r>
        <w:t xml:space="preserve">year-end balances, provided updates on the current year budget and the importance of strategic budgeting, and introduced the concept of the annual budget call. Academic </w:t>
      </w:r>
      <w:r w:rsidR="00782178">
        <w:t xml:space="preserve">affairs </w:t>
      </w:r>
      <w:r>
        <w:t>also highlighted how that division has utilized resources to support strategic initiatives such as business process improvements, classroom standards, and academic salaries</w:t>
      </w:r>
      <w:r w:rsidR="001741C8">
        <w:t xml:space="preserve"> (see </w:t>
      </w:r>
      <w:r w:rsidR="001741C8" w:rsidRPr="000E2AA0">
        <w:t>appendix 3</w:t>
      </w:r>
      <w:r w:rsidR="001741C8">
        <w:t xml:space="preserve"> for the list of 2018-19 accomplishments by academic affairs units)</w:t>
      </w:r>
      <w:r>
        <w:t>.</w:t>
      </w:r>
    </w:p>
    <w:p w14:paraId="2EF49BB7" w14:textId="6B6E5500" w:rsidR="00490168" w:rsidRDefault="00490168" w:rsidP="00490168">
      <w:pPr>
        <w:tabs>
          <w:tab w:val="left" w:pos="720"/>
        </w:tabs>
        <w:spacing w:after="0" w:line="480" w:lineRule="auto"/>
      </w:pPr>
      <w:r>
        <w:tab/>
        <w:t xml:space="preserve">The </w:t>
      </w:r>
      <w:r w:rsidR="00390AEB">
        <w:t>s</w:t>
      </w:r>
      <w:r>
        <w:t xml:space="preserve">pring 2019 forum reviewed the </w:t>
      </w:r>
      <w:r w:rsidR="007E1714">
        <w:t xml:space="preserve">California </w:t>
      </w:r>
      <w:r w:rsidR="00782178">
        <w:t xml:space="preserve">governor’s </w:t>
      </w:r>
      <w:r>
        <w:t xml:space="preserve">2019-2020 budget proposal and the potential impacts on SSU, and it included a presentation of how multiple divisions had realigned resources to achieve their strategic initiatives. The </w:t>
      </w:r>
      <w:r w:rsidR="00841753">
        <w:t>fall</w:t>
      </w:r>
      <w:r>
        <w:t xml:space="preserve"> 2019 forum focused on the current budget picture, the challenges created by a multi-year enrollment reduction, and the launch of a strategic enrollment management planning process.</w:t>
      </w:r>
    </w:p>
    <w:p w14:paraId="6AD7A63D" w14:textId="0E284E20" w:rsidR="007E1714" w:rsidRDefault="00490168" w:rsidP="00490168">
      <w:pPr>
        <w:tabs>
          <w:tab w:val="left" w:pos="720"/>
        </w:tabs>
        <w:spacing w:after="0" w:line="480" w:lineRule="auto"/>
      </w:pPr>
      <w:r>
        <w:lastRenderedPageBreak/>
        <w:tab/>
        <w:t xml:space="preserve">The </w:t>
      </w:r>
      <w:r w:rsidR="00390AEB">
        <w:t>s</w:t>
      </w:r>
      <w:r>
        <w:t xml:space="preserve">pring 2020 virtual forum delved into the budgetary impact of both </w:t>
      </w:r>
      <w:proofErr w:type="gramStart"/>
      <w:r>
        <w:t>enrollment</w:t>
      </w:r>
      <w:proofErr w:type="gramEnd"/>
      <w:r>
        <w:t xml:space="preserve"> </w:t>
      </w:r>
      <w:r w:rsidR="00DA7D25">
        <w:t xml:space="preserve">declines </w:t>
      </w:r>
      <w:r>
        <w:t>and COVID-19, and it emphasized</w:t>
      </w:r>
      <w:r w:rsidR="00DA7D25">
        <w:t xml:space="preserve"> how </w:t>
      </w:r>
      <w:r>
        <w:t xml:space="preserve">decisions made to address </w:t>
      </w:r>
      <w:r w:rsidR="00DA7D25">
        <w:t>t</w:t>
      </w:r>
      <w:r>
        <w:t xml:space="preserve">he anticipated deficit would be aligned with </w:t>
      </w:r>
      <w:r w:rsidR="00DA7D25">
        <w:t xml:space="preserve">SSU’s </w:t>
      </w:r>
      <w:r>
        <w:t>core values and strategic priorities. For the annual budget call process for 2020-21, which was</w:t>
      </w:r>
      <w:sdt>
        <w:sdtPr>
          <w:tag w:val="goog_rdk_50"/>
          <w:id w:val="425773024"/>
        </w:sdtPr>
        <w:sdtContent>
          <w:r>
            <w:t xml:space="preserve"> </w:t>
          </w:r>
        </w:sdtContent>
      </w:sdt>
      <w:r>
        <w:t xml:space="preserve">launched during </w:t>
      </w:r>
      <w:r w:rsidR="00390AEB">
        <w:t>s</w:t>
      </w:r>
      <w:r>
        <w:t xml:space="preserve">pring 2020, campus units were required to describe how their budget plans would support the strategic priorities. </w:t>
      </w:r>
      <w:r w:rsidR="003F68FF">
        <w:t>The weblink</w:t>
      </w:r>
      <w:r>
        <w:t xml:space="preserve"> to the campus budget plan </w:t>
      </w:r>
      <w:r w:rsidR="003F68FF">
        <w:t>as well as</w:t>
      </w:r>
      <w:r>
        <w:t xml:space="preserve"> the </w:t>
      </w:r>
      <w:r w:rsidR="00390AEB">
        <w:t>s</w:t>
      </w:r>
      <w:r>
        <w:t>pring 202</w:t>
      </w:r>
      <w:r w:rsidR="003F68FF">
        <w:t xml:space="preserve">0 budget forum is available in </w:t>
      </w:r>
      <w:r w:rsidR="00782178" w:rsidRPr="00411167">
        <w:t>a</w:t>
      </w:r>
      <w:r w:rsidR="00DB2390" w:rsidRPr="00411167">
        <w:t>ppendix</w:t>
      </w:r>
      <w:r w:rsidR="003F68FF" w:rsidRPr="00411167">
        <w:t xml:space="preserve"> 3</w:t>
      </w:r>
      <w:r w:rsidR="003F68FF">
        <w:t xml:space="preserve">.  </w:t>
      </w:r>
      <w:r w:rsidR="00CB079E">
        <w:t xml:space="preserve"> </w:t>
      </w:r>
    </w:p>
    <w:p w14:paraId="2C0186B1" w14:textId="1E246E38" w:rsidR="007E1714" w:rsidRDefault="007E1714" w:rsidP="00490168">
      <w:pPr>
        <w:tabs>
          <w:tab w:val="left" w:pos="720"/>
        </w:tabs>
        <w:spacing w:after="0" w:line="480" w:lineRule="auto"/>
      </w:pPr>
      <w:r>
        <w:tab/>
        <w:t>Spring 2020 also brought COVID-19 and the pivot to remote instruction, which had a considerable impact on the budget for academic year 2020-21 and on enrollment, particularly for first-time, first-year students. Sonoma State responded with a plan to address a $20 million budget deficit</w:t>
      </w:r>
      <w:r w:rsidR="00DA7D25">
        <w:t xml:space="preserve"> related to enrollment declines, state budget declines, and revenue short</w:t>
      </w:r>
      <w:r w:rsidR="00841753">
        <w:t>fall</w:t>
      </w:r>
      <w:r w:rsidR="00DA7D25">
        <w:t>s related to the pandemic. That plan included</w:t>
      </w:r>
      <w:r>
        <w:t xml:space="preserve"> </w:t>
      </w:r>
      <w:r w:rsidR="00737629">
        <w:t>utilizing $1 million in reserves, division reductions of</w:t>
      </w:r>
      <w:r>
        <w:t xml:space="preserve"> 12%</w:t>
      </w:r>
      <w:r w:rsidR="00737629">
        <w:t>, and a hiring slowdown,</w:t>
      </w:r>
      <w:r>
        <w:t xml:space="preserve"> </w:t>
      </w:r>
      <w:r w:rsidR="00DA7D25">
        <w:t>along with other measures</w:t>
      </w:r>
      <w:r>
        <w:t xml:space="preserve">. </w:t>
      </w:r>
      <w:r w:rsidR="00630CD8">
        <w:t xml:space="preserve">The </w:t>
      </w:r>
      <w:r w:rsidR="00841753">
        <w:t>fall</w:t>
      </w:r>
      <w:r w:rsidR="00630CD8">
        <w:t xml:space="preserve"> 2020 virtual forum detailed those budget reductions</w:t>
      </w:r>
      <w:r w:rsidR="00DA7D25">
        <w:t xml:space="preserve"> (</w:t>
      </w:r>
      <w:r w:rsidR="002F088A">
        <w:t xml:space="preserve">see </w:t>
      </w:r>
      <w:r w:rsidR="00782178" w:rsidRPr="00411167">
        <w:t>a</w:t>
      </w:r>
      <w:r w:rsidR="00DB2390" w:rsidRPr="00411167">
        <w:t>ppendix</w:t>
      </w:r>
      <w:r w:rsidR="00DA7D25" w:rsidRPr="00411167">
        <w:t xml:space="preserve"> 3</w:t>
      </w:r>
      <w:r w:rsidR="00DA7D25">
        <w:rPr>
          <w:b/>
          <w:i/>
        </w:rPr>
        <w:t xml:space="preserve"> </w:t>
      </w:r>
      <w:r w:rsidR="00AA5638">
        <w:t xml:space="preserve">for a link to the SSU </w:t>
      </w:r>
      <w:r w:rsidR="00782178">
        <w:t xml:space="preserve">office </w:t>
      </w:r>
      <w:r w:rsidR="00AA5638">
        <w:t xml:space="preserve">of </w:t>
      </w:r>
      <w:r w:rsidR="00782178">
        <w:t xml:space="preserve">budget </w:t>
      </w:r>
      <w:r w:rsidR="00AA5638">
        <w:t xml:space="preserve">and </w:t>
      </w:r>
      <w:r w:rsidR="00782178">
        <w:t>planning</w:t>
      </w:r>
      <w:r w:rsidR="00AA5638">
        <w:t>, where recent budget forums are documented).</w:t>
      </w:r>
      <w:r w:rsidR="00737629">
        <w:t xml:space="preserve"> The extensive work the campus has done over the past three years to build budget competency and ensure alignment of budget allocation with campus strategic priorities served SSU well during the economic downturn of 2020. Campus leaders are proud of the work departments have done to ensure alignment with our values and goals while responding to the state and federal cuts. The campus is likely to face additional cuts in state resources in future years, so SSU is focused on maximizing enrollment and is prepared to address future deficits with the same strategic budgeting principles developed over the past few years.</w:t>
      </w:r>
    </w:p>
    <w:p w14:paraId="79068309" w14:textId="4D99C04C" w:rsidR="00490168" w:rsidRDefault="007E1714" w:rsidP="00490168">
      <w:pPr>
        <w:tabs>
          <w:tab w:val="left" w:pos="720"/>
        </w:tabs>
        <w:spacing w:after="0" w:line="480" w:lineRule="auto"/>
      </w:pPr>
      <w:r>
        <w:tab/>
      </w:r>
      <w:r w:rsidR="00490168">
        <w:t xml:space="preserve"> </w:t>
      </w:r>
    </w:p>
    <w:p w14:paraId="7DDAC860" w14:textId="174FBE61" w:rsidR="00CB079E" w:rsidRPr="00FF6EE9" w:rsidRDefault="00135E27" w:rsidP="00641A86">
      <w:pPr>
        <w:pStyle w:val="Heading1"/>
        <w:jc w:val="center"/>
      </w:pPr>
      <w:r>
        <w:br w:type="page"/>
      </w:r>
      <w:r w:rsidR="00CB079E" w:rsidRPr="00FF6EE9">
        <w:lastRenderedPageBreak/>
        <w:t>SSU’s Follow-up Response to Recommendation #4</w:t>
      </w:r>
    </w:p>
    <w:p w14:paraId="4D45FCFE" w14:textId="77777777" w:rsidR="00CB079E" w:rsidRPr="00641A86" w:rsidRDefault="00CB079E" w:rsidP="00723D07">
      <w:pPr>
        <w:spacing w:after="0" w:line="240" w:lineRule="auto"/>
        <w:ind w:left="1440" w:right="1440"/>
        <w:jc w:val="center"/>
        <w:rPr>
          <w:rStyle w:val="Emphasis"/>
        </w:rPr>
      </w:pPr>
      <w:r w:rsidRPr="00641A86">
        <w:rPr>
          <w:rStyle w:val="Emphasis"/>
        </w:rPr>
        <w:t>[Effectively using newly implemented data tools (like the CSU data dashboards) to enhance student learning and success. (CFR 4.2)]</w:t>
      </w:r>
    </w:p>
    <w:p w14:paraId="11076854" w14:textId="77777777" w:rsidR="00CB079E" w:rsidRDefault="00CB079E" w:rsidP="00CB079E"/>
    <w:p w14:paraId="643A2000" w14:textId="3A6039B8" w:rsidR="00CB079E" w:rsidRDefault="00CB079E" w:rsidP="00641A86">
      <w:pPr>
        <w:pStyle w:val="Heading2"/>
      </w:pPr>
      <w:bookmarkStart w:id="4" w:name="_gjdgxs" w:colFirst="0" w:colLast="0"/>
      <w:bookmarkEnd w:id="4"/>
      <w:r>
        <w:t>New Data Tools Support SSU’s Planning and Decision-Making</w:t>
      </w:r>
    </w:p>
    <w:p w14:paraId="18932A3A" w14:textId="77777777" w:rsidR="00641A86" w:rsidRPr="00641A86" w:rsidRDefault="00641A86" w:rsidP="00641A86"/>
    <w:p w14:paraId="24EA96C3" w14:textId="2B016F6F" w:rsidR="00CB079E" w:rsidRDefault="00CB079E" w:rsidP="00CB079E">
      <w:pPr>
        <w:spacing w:line="480" w:lineRule="auto"/>
        <w:ind w:firstLine="720"/>
      </w:pPr>
      <w:r>
        <w:t xml:space="preserve">SSU’s use of data tools has dramatically increased since </w:t>
      </w:r>
      <w:r w:rsidR="00231DD9">
        <w:t xml:space="preserve">WSCUC’s </w:t>
      </w:r>
      <w:r>
        <w:t>2017 visit. This expansion has enabled the campus to engage in data-driven decision-making to a much greater extent than in previous years, and it has also greatly improved the institution’s ability to support student success and retention. At the time of the last visit, SSU was using Blackboard Analytics to manage data for student-success-related decision-making and reporting.</w:t>
      </w:r>
      <w:r w:rsidR="00661CEC">
        <w:t xml:space="preserve"> </w:t>
      </w:r>
      <w:r>
        <w:t>The system was an improvement over SSU’s previous approaches to data management, and it enabled the campus to begin identifying the barriers to student success and more closely track progress to graduation</w:t>
      </w:r>
      <w:r w:rsidR="00231DD9">
        <w:t xml:space="preserve"> for the </w:t>
      </w:r>
      <w:r w:rsidR="00782178">
        <w:t>CSU</w:t>
      </w:r>
      <w:r w:rsidR="00231DD9">
        <w:t xml:space="preserve">’s </w:t>
      </w:r>
      <w:r w:rsidR="002F088A">
        <w:t>GI</w:t>
      </w:r>
      <w:r w:rsidR="00231DD9">
        <w:t>2025</w:t>
      </w:r>
      <w:r>
        <w:t>. As SSU’s capabilities and experience with data tools has grown, the campus has implemented multiple new systems to support student learning and success</w:t>
      </w:r>
      <w:r w:rsidR="00AA5638">
        <w:t>,</w:t>
      </w:r>
      <w:r>
        <w:t xml:space="preserve"> including Tableau, the CSU’s </w:t>
      </w:r>
      <w:r w:rsidR="002F088A">
        <w:t>student success dashboard</w:t>
      </w:r>
      <w:r>
        <w:t xml:space="preserve">, </w:t>
      </w:r>
      <w:proofErr w:type="spellStart"/>
      <w:r>
        <w:t>LoboConnect</w:t>
      </w:r>
      <w:proofErr w:type="spellEnd"/>
      <w:r>
        <w:t xml:space="preserve">, and </w:t>
      </w:r>
      <w:proofErr w:type="spellStart"/>
      <w:r>
        <w:t>Engage@SSU</w:t>
      </w:r>
      <w:proofErr w:type="spellEnd"/>
      <w:r>
        <w:t>.</w:t>
      </w:r>
    </w:p>
    <w:p w14:paraId="56A68CDB" w14:textId="51463E0D" w:rsidR="00CB079E" w:rsidRDefault="00CB079E" w:rsidP="00EE384A">
      <w:pPr>
        <w:pStyle w:val="Heading2"/>
      </w:pPr>
      <w:r w:rsidRPr="002B20B8">
        <w:t>Tableau</w:t>
      </w:r>
    </w:p>
    <w:p w14:paraId="0EC76479" w14:textId="77777777" w:rsidR="00EE384A" w:rsidRPr="00EE384A" w:rsidRDefault="00EE384A" w:rsidP="00EE384A"/>
    <w:p w14:paraId="4E769B7A" w14:textId="7A3228B1" w:rsidR="00CB079E" w:rsidRDefault="00CB079E" w:rsidP="00CB079E">
      <w:pPr>
        <w:spacing w:line="480" w:lineRule="auto"/>
      </w:pPr>
      <w:r>
        <w:tab/>
        <w:t xml:space="preserve">In </w:t>
      </w:r>
      <w:r w:rsidR="00390AEB">
        <w:t>s</w:t>
      </w:r>
      <w:r>
        <w:t>pring 2019, SSU implemented Tableau, a data visualization and analytic software system. Using Tableau, analysts have developed an expanding library of interactive</w:t>
      </w:r>
      <w:r>
        <w:rPr>
          <w:highlight w:val="white"/>
        </w:rPr>
        <w:t xml:space="preserve"> dashboards and data visualizations that are designed to provide insight into patterns in admissions, enrollment, academic resources, and student achievement. Through the dashboards, users can review and compare a variety of data simultaneously. The dashboards are updated regularly from PeopleSoft/</w:t>
      </w:r>
      <w:proofErr w:type="spellStart"/>
      <w:r>
        <w:rPr>
          <w:highlight w:val="white"/>
        </w:rPr>
        <w:t>MySSU</w:t>
      </w:r>
      <w:proofErr w:type="spellEnd"/>
      <w:r>
        <w:rPr>
          <w:highlight w:val="white"/>
        </w:rPr>
        <w:t xml:space="preserve"> and official reporting files, allowing data to be available 24/7.</w:t>
      </w:r>
      <w:r w:rsidR="00661CEC">
        <w:rPr>
          <w:highlight w:val="white"/>
        </w:rPr>
        <w:t xml:space="preserve"> </w:t>
      </w:r>
      <w:r>
        <w:rPr>
          <w:highlight w:val="white"/>
        </w:rPr>
        <w:t xml:space="preserve">As it became clear that Tableau was a more powerful resource for the campus, </w:t>
      </w:r>
      <w:r>
        <w:t xml:space="preserve">Blackboard Analytics was discontinued in June 2020. </w:t>
      </w:r>
    </w:p>
    <w:p w14:paraId="37378311" w14:textId="369889A0" w:rsidR="00CB079E" w:rsidRDefault="000474E7" w:rsidP="009C2C61">
      <w:pPr>
        <w:spacing w:after="0" w:line="480" w:lineRule="auto"/>
        <w:ind w:firstLine="720"/>
        <w:rPr>
          <w:highlight w:val="white"/>
        </w:rPr>
      </w:pPr>
      <w:r>
        <w:rPr>
          <w:highlight w:val="white"/>
        </w:rPr>
        <w:lastRenderedPageBreak/>
        <w:t xml:space="preserve">In 2019, SSU replaced its former </w:t>
      </w:r>
      <w:r w:rsidR="00782178">
        <w:rPr>
          <w:highlight w:val="white"/>
        </w:rPr>
        <w:t>o</w:t>
      </w:r>
      <w:r>
        <w:rPr>
          <w:highlight w:val="white"/>
        </w:rPr>
        <w:t xml:space="preserve">ffice of </w:t>
      </w:r>
      <w:r w:rsidR="00782178">
        <w:rPr>
          <w:highlight w:val="white"/>
        </w:rPr>
        <w:t>r</w:t>
      </w:r>
      <w:r>
        <w:rPr>
          <w:highlight w:val="white"/>
        </w:rPr>
        <w:t xml:space="preserve">eporting and </w:t>
      </w:r>
      <w:r w:rsidR="00782178">
        <w:rPr>
          <w:highlight w:val="white"/>
        </w:rPr>
        <w:t>a</w:t>
      </w:r>
      <w:r>
        <w:rPr>
          <w:highlight w:val="white"/>
        </w:rPr>
        <w:t xml:space="preserve">nalytics with an expanded OIE </w:t>
      </w:r>
      <w:r w:rsidR="00A57D37">
        <w:rPr>
          <w:highlight w:val="white"/>
        </w:rPr>
        <w:t>led by a new a</w:t>
      </w:r>
      <w:r>
        <w:rPr>
          <w:highlight w:val="white"/>
        </w:rPr>
        <w:t xml:space="preserve">ssociate </w:t>
      </w:r>
      <w:r w:rsidR="00A57D37">
        <w:rPr>
          <w:highlight w:val="white"/>
        </w:rPr>
        <w:t>v</w:t>
      </w:r>
      <w:r>
        <w:rPr>
          <w:highlight w:val="white"/>
        </w:rPr>
        <w:t xml:space="preserve">ice </w:t>
      </w:r>
      <w:r w:rsidR="00A57D37">
        <w:rPr>
          <w:highlight w:val="white"/>
        </w:rPr>
        <w:t>p</w:t>
      </w:r>
      <w:r>
        <w:rPr>
          <w:highlight w:val="white"/>
        </w:rPr>
        <w:t xml:space="preserve">resident </w:t>
      </w:r>
      <w:r w:rsidR="00A57D37">
        <w:rPr>
          <w:highlight w:val="white"/>
        </w:rPr>
        <w:t>(AVP)</w:t>
      </w:r>
      <w:r w:rsidR="001741C8">
        <w:rPr>
          <w:highlight w:val="white"/>
        </w:rPr>
        <w:t xml:space="preserve"> (see </w:t>
      </w:r>
      <w:r w:rsidR="001741C8" w:rsidRPr="00411167">
        <w:rPr>
          <w:highlight w:val="white"/>
        </w:rPr>
        <w:t>appendix 4</w:t>
      </w:r>
      <w:r w:rsidR="001741C8">
        <w:rPr>
          <w:highlight w:val="white"/>
        </w:rPr>
        <w:t xml:space="preserve"> for a link to the OIE website)</w:t>
      </w:r>
      <w:r>
        <w:rPr>
          <w:highlight w:val="white"/>
        </w:rPr>
        <w:t xml:space="preserve">. Under the AVP’s direction, OIE </w:t>
      </w:r>
      <w:r w:rsidR="00CB079E">
        <w:rPr>
          <w:highlight w:val="white"/>
        </w:rPr>
        <w:t xml:space="preserve">has created a wide variety of Tableau dashboards that are available online to SSU faculty and staff and </w:t>
      </w:r>
      <w:r w:rsidR="00231DD9">
        <w:rPr>
          <w:highlight w:val="white"/>
        </w:rPr>
        <w:t xml:space="preserve">that </w:t>
      </w:r>
      <w:r w:rsidR="00CB079E">
        <w:rPr>
          <w:highlight w:val="white"/>
        </w:rPr>
        <w:t>provide up-to-date information and clear statistical analysis</w:t>
      </w:r>
      <w:r w:rsidR="00231DD9">
        <w:rPr>
          <w:highlight w:val="white"/>
        </w:rPr>
        <w:t xml:space="preserve"> (</w:t>
      </w:r>
      <w:r w:rsidR="002F088A">
        <w:rPr>
          <w:highlight w:val="white"/>
        </w:rPr>
        <w:t>s</w:t>
      </w:r>
      <w:r w:rsidR="00231DD9">
        <w:rPr>
          <w:highlight w:val="white"/>
        </w:rPr>
        <w:t xml:space="preserve">ee </w:t>
      </w:r>
      <w:r w:rsidR="00782178" w:rsidRPr="00411167">
        <w:rPr>
          <w:highlight w:val="white"/>
        </w:rPr>
        <w:t>a</w:t>
      </w:r>
      <w:r w:rsidR="00DB2390" w:rsidRPr="00411167">
        <w:rPr>
          <w:highlight w:val="white"/>
        </w:rPr>
        <w:t>ppendix</w:t>
      </w:r>
      <w:r w:rsidR="00231DD9" w:rsidRPr="00411167">
        <w:rPr>
          <w:highlight w:val="white"/>
        </w:rPr>
        <w:t xml:space="preserve"> 4</w:t>
      </w:r>
      <w:r w:rsidR="00231DD9">
        <w:rPr>
          <w:highlight w:val="white"/>
        </w:rPr>
        <w:t xml:space="preserve"> for the link to </w:t>
      </w:r>
      <w:r w:rsidR="001741C8">
        <w:rPr>
          <w:highlight w:val="white"/>
        </w:rPr>
        <w:t>Tableau dashboards</w:t>
      </w:r>
      <w:r w:rsidR="00231DD9">
        <w:rPr>
          <w:highlight w:val="white"/>
        </w:rPr>
        <w:t>)</w:t>
      </w:r>
      <w:r w:rsidR="00CB079E">
        <w:rPr>
          <w:highlight w:val="white"/>
        </w:rPr>
        <w:t xml:space="preserve">. The </w:t>
      </w:r>
      <w:r w:rsidR="00782178">
        <w:t>a</w:t>
      </w:r>
      <w:r w:rsidR="00CB079E">
        <w:t xml:space="preserve">cademic </w:t>
      </w:r>
      <w:r w:rsidR="00782178">
        <w:t xml:space="preserve">resource dashboard </w:t>
      </w:r>
      <w:r w:rsidR="00CB079E">
        <w:t xml:space="preserve">(ARD), developed and published in </w:t>
      </w:r>
      <w:r w:rsidR="00390AEB">
        <w:t>s</w:t>
      </w:r>
      <w:r w:rsidR="00CB079E">
        <w:t xml:space="preserve">pring 2020, provides </w:t>
      </w:r>
      <w:r w:rsidR="00CB079E">
        <w:rPr>
          <w:highlight w:val="white"/>
        </w:rPr>
        <w:t xml:space="preserve">a detailed look at important metrics related to the overall function of academic departments. In addition to the metrics that are frequently referenced when assessing department function (majors, FTES, SFR, etc.), the various dashboards go into greater detail, providing ratios of items such as </w:t>
      </w:r>
      <w:r w:rsidR="00782178">
        <w:rPr>
          <w:highlight w:val="white"/>
        </w:rPr>
        <w:t>m</w:t>
      </w:r>
      <w:r w:rsidR="00CB079E">
        <w:rPr>
          <w:highlight w:val="white"/>
        </w:rPr>
        <w:t xml:space="preserve">ajors to </w:t>
      </w:r>
      <w:r w:rsidR="00782178">
        <w:rPr>
          <w:highlight w:val="white"/>
        </w:rPr>
        <w:t>t</w:t>
      </w:r>
      <w:r w:rsidR="00CB079E">
        <w:rPr>
          <w:highlight w:val="white"/>
        </w:rPr>
        <w:t xml:space="preserve">enure </w:t>
      </w:r>
      <w:r w:rsidR="00782178">
        <w:rPr>
          <w:highlight w:val="white"/>
        </w:rPr>
        <w:t>t</w:t>
      </w:r>
      <w:r w:rsidR="00CB079E">
        <w:rPr>
          <w:highlight w:val="white"/>
        </w:rPr>
        <w:t>rack FTE, or FTES to total department full-time employees. Familiarity with the metrics included in the ARD will help schools and academic departments determine when it is time to advocate for additional resources to support student progress to degree</w:t>
      </w:r>
      <w:r w:rsidR="00231DD9">
        <w:rPr>
          <w:highlight w:val="white"/>
        </w:rPr>
        <w:t xml:space="preserve"> (</w:t>
      </w:r>
      <w:r w:rsidR="002F088A">
        <w:rPr>
          <w:highlight w:val="white"/>
        </w:rPr>
        <w:t>s</w:t>
      </w:r>
      <w:r w:rsidR="00231DD9">
        <w:rPr>
          <w:highlight w:val="white"/>
        </w:rPr>
        <w:t xml:space="preserve">ee </w:t>
      </w:r>
      <w:r w:rsidR="00782178" w:rsidRPr="00411167">
        <w:rPr>
          <w:highlight w:val="white"/>
        </w:rPr>
        <w:t>a</w:t>
      </w:r>
      <w:r w:rsidR="00DB2390" w:rsidRPr="00411167">
        <w:rPr>
          <w:highlight w:val="white"/>
        </w:rPr>
        <w:t>ppendix</w:t>
      </w:r>
      <w:r w:rsidR="00231DD9" w:rsidRPr="00411167">
        <w:rPr>
          <w:highlight w:val="white"/>
        </w:rPr>
        <w:t xml:space="preserve"> 4</w:t>
      </w:r>
      <w:r w:rsidR="00231DD9">
        <w:rPr>
          <w:highlight w:val="white"/>
        </w:rPr>
        <w:t xml:space="preserve"> for the link to the ARD)</w:t>
      </w:r>
      <w:r w:rsidR="00CB079E">
        <w:rPr>
          <w:highlight w:val="white"/>
        </w:rPr>
        <w:t xml:space="preserve">. </w:t>
      </w:r>
      <w:r w:rsidR="00695946">
        <w:rPr>
          <w:highlight w:val="white"/>
        </w:rPr>
        <w:t xml:space="preserve">Examples of the </w:t>
      </w:r>
      <w:r w:rsidR="00CB079E">
        <w:rPr>
          <w:highlight w:val="white"/>
        </w:rPr>
        <w:t>dashboards that are currently available for School and department reference are:</w:t>
      </w:r>
    </w:p>
    <w:tbl>
      <w:tblPr>
        <w:tblW w:w="9331" w:type="dxa"/>
        <w:tblLayout w:type="fixed"/>
        <w:tblLook w:val="0400" w:firstRow="0" w:lastRow="0" w:firstColumn="0" w:lastColumn="0" w:noHBand="0" w:noVBand="1"/>
        <w:tblCaption w:val="Tableau Dashboads Available"/>
        <w:tblDescription w:val="A two column list of the dashboards currently available for school and department reference."/>
      </w:tblPr>
      <w:tblGrid>
        <w:gridCol w:w="4953"/>
        <w:gridCol w:w="4378"/>
      </w:tblGrid>
      <w:tr w:rsidR="009C2C61" w14:paraId="4D3B86EF" w14:textId="6DBFC298" w:rsidTr="00372CBD">
        <w:trPr>
          <w:trHeight w:val="396"/>
        </w:trPr>
        <w:tc>
          <w:tcPr>
            <w:tcW w:w="4953" w:type="dxa"/>
          </w:tcPr>
          <w:p w14:paraId="67AC04A8" w14:textId="7D192810" w:rsidR="009C2C61" w:rsidRPr="00372CBD" w:rsidRDefault="009C2C61" w:rsidP="00372CBD">
            <w:pPr>
              <w:pStyle w:val="ListParagraph"/>
              <w:numPr>
                <w:ilvl w:val="0"/>
                <w:numId w:val="45"/>
              </w:numPr>
              <w:rPr>
                <w:highlight w:val="white"/>
              </w:rPr>
            </w:pPr>
            <w:r w:rsidRPr="00372CBD">
              <w:rPr>
                <w:highlight w:val="white"/>
              </w:rPr>
              <w:t xml:space="preserve">Full </w:t>
            </w:r>
            <w:r w:rsidR="00782178" w:rsidRPr="00372CBD">
              <w:rPr>
                <w:highlight w:val="white"/>
              </w:rPr>
              <w:t>t</w:t>
            </w:r>
            <w:r w:rsidRPr="00372CBD">
              <w:rPr>
                <w:highlight w:val="white"/>
              </w:rPr>
              <w:t xml:space="preserve">ime </w:t>
            </w:r>
            <w:r w:rsidR="00782178" w:rsidRPr="00372CBD">
              <w:rPr>
                <w:highlight w:val="white"/>
              </w:rPr>
              <w:t xml:space="preserve">equivalent </w:t>
            </w:r>
            <w:r w:rsidRPr="00372CBD">
              <w:rPr>
                <w:highlight w:val="white"/>
              </w:rPr>
              <w:t xml:space="preserve">(FTE) </w:t>
            </w:r>
            <w:r w:rsidR="00782178" w:rsidRPr="00372CBD">
              <w:rPr>
                <w:highlight w:val="white"/>
              </w:rPr>
              <w:t>employee</w:t>
            </w:r>
          </w:p>
        </w:tc>
        <w:tc>
          <w:tcPr>
            <w:tcW w:w="4378" w:type="dxa"/>
          </w:tcPr>
          <w:p w14:paraId="70993475" w14:textId="07EFAF58" w:rsidR="009C2C61" w:rsidRPr="00372CBD" w:rsidRDefault="009C2C61" w:rsidP="00372CBD">
            <w:pPr>
              <w:pStyle w:val="ListParagraph"/>
              <w:numPr>
                <w:ilvl w:val="0"/>
                <w:numId w:val="45"/>
              </w:numPr>
              <w:rPr>
                <w:highlight w:val="white"/>
              </w:rPr>
            </w:pPr>
            <w:r w:rsidRPr="00372CBD">
              <w:rPr>
                <w:highlight w:val="white"/>
              </w:rPr>
              <w:t xml:space="preserve">Student </w:t>
            </w:r>
            <w:r w:rsidR="00782178" w:rsidRPr="00372CBD">
              <w:rPr>
                <w:highlight w:val="white"/>
              </w:rPr>
              <w:t>f</w:t>
            </w:r>
            <w:r w:rsidRPr="00372CBD">
              <w:rPr>
                <w:highlight w:val="white"/>
              </w:rPr>
              <w:t xml:space="preserve">aculty </w:t>
            </w:r>
            <w:r w:rsidR="00782178" w:rsidRPr="00372CBD">
              <w:rPr>
                <w:highlight w:val="white"/>
              </w:rPr>
              <w:t>r</w:t>
            </w:r>
            <w:r w:rsidRPr="00372CBD">
              <w:rPr>
                <w:highlight w:val="white"/>
              </w:rPr>
              <w:t>atio</w:t>
            </w:r>
          </w:p>
        </w:tc>
      </w:tr>
      <w:tr w:rsidR="009C2C61" w14:paraId="44E8415C" w14:textId="407E546E" w:rsidTr="00372CBD">
        <w:trPr>
          <w:trHeight w:val="171"/>
        </w:trPr>
        <w:tc>
          <w:tcPr>
            <w:tcW w:w="4953" w:type="dxa"/>
          </w:tcPr>
          <w:p w14:paraId="7FB459DC" w14:textId="04F01750" w:rsidR="009C2C61" w:rsidRPr="00372CBD" w:rsidRDefault="009C2C61" w:rsidP="00372CBD">
            <w:pPr>
              <w:pStyle w:val="ListParagraph"/>
              <w:numPr>
                <w:ilvl w:val="0"/>
                <w:numId w:val="45"/>
              </w:numPr>
              <w:rPr>
                <w:highlight w:val="white"/>
              </w:rPr>
            </w:pPr>
            <w:r w:rsidRPr="00372CBD">
              <w:rPr>
                <w:highlight w:val="white"/>
              </w:rPr>
              <w:t xml:space="preserve">Full </w:t>
            </w:r>
            <w:r w:rsidR="00782178" w:rsidRPr="00372CBD">
              <w:rPr>
                <w:highlight w:val="white"/>
              </w:rPr>
              <w:t>t</w:t>
            </w:r>
            <w:r w:rsidRPr="00372CBD">
              <w:rPr>
                <w:highlight w:val="white"/>
              </w:rPr>
              <w:t xml:space="preserve">ime </w:t>
            </w:r>
            <w:r w:rsidR="00782178" w:rsidRPr="00372CBD">
              <w:rPr>
                <w:highlight w:val="white"/>
              </w:rPr>
              <w:t>e</w:t>
            </w:r>
            <w:r w:rsidRPr="00372CBD">
              <w:rPr>
                <w:highlight w:val="white"/>
              </w:rPr>
              <w:t xml:space="preserve">quivalent </w:t>
            </w:r>
            <w:r w:rsidR="00782178" w:rsidRPr="00372CBD">
              <w:rPr>
                <w:highlight w:val="white"/>
              </w:rPr>
              <w:t>f</w:t>
            </w:r>
            <w:r w:rsidRPr="00372CBD">
              <w:rPr>
                <w:highlight w:val="white"/>
              </w:rPr>
              <w:t>aculty (FTEF)</w:t>
            </w:r>
          </w:p>
        </w:tc>
        <w:tc>
          <w:tcPr>
            <w:tcW w:w="4378" w:type="dxa"/>
          </w:tcPr>
          <w:p w14:paraId="4979D767" w14:textId="5604D1CF" w:rsidR="009C2C61" w:rsidRPr="00372CBD" w:rsidRDefault="009C2C61" w:rsidP="00372CBD">
            <w:pPr>
              <w:pStyle w:val="ListParagraph"/>
              <w:numPr>
                <w:ilvl w:val="0"/>
                <w:numId w:val="45"/>
              </w:numPr>
              <w:rPr>
                <w:highlight w:val="white"/>
              </w:rPr>
            </w:pPr>
            <w:r w:rsidRPr="00372CBD">
              <w:rPr>
                <w:highlight w:val="white"/>
              </w:rPr>
              <w:t xml:space="preserve">Tenure </w:t>
            </w:r>
            <w:r w:rsidR="00782178" w:rsidRPr="00372CBD">
              <w:rPr>
                <w:highlight w:val="white"/>
              </w:rPr>
              <w:t>t</w:t>
            </w:r>
            <w:r w:rsidRPr="00372CBD">
              <w:rPr>
                <w:highlight w:val="white"/>
              </w:rPr>
              <w:t xml:space="preserve">rack </w:t>
            </w:r>
            <w:r w:rsidR="00782178" w:rsidRPr="00372CBD">
              <w:rPr>
                <w:highlight w:val="white"/>
              </w:rPr>
              <w:t>d</w:t>
            </w:r>
            <w:r w:rsidRPr="00372CBD">
              <w:rPr>
                <w:highlight w:val="white"/>
              </w:rPr>
              <w:t>ensity</w:t>
            </w:r>
          </w:p>
        </w:tc>
      </w:tr>
      <w:tr w:rsidR="009C2C61" w14:paraId="7AE089E7" w14:textId="62496348" w:rsidTr="00372CBD">
        <w:trPr>
          <w:trHeight w:val="461"/>
        </w:trPr>
        <w:tc>
          <w:tcPr>
            <w:tcW w:w="4953" w:type="dxa"/>
          </w:tcPr>
          <w:p w14:paraId="1D204AC1" w14:textId="68F4E310" w:rsidR="009C2C61" w:rsidRPr="00372CBD" w:rsidRDefault="009C2C61" w:rsidP="00372CBD">
            <w:pPr>
              <w:pStyle w:val="ListParagraph"/>
              <w:numPr>
                <w:ilvl w:val="0"/>
                <w:numId w:val="45"/>
              </w:numPr>
              <w:rPr>
                <w:highlight w:val="white"/>
              </w:rPr>
            </w:pPr>
            <w:r w:rsidRPr="00372CBD">
              <w:rPr>
                <w:highlight w:val="white"/>
              </w:rPr>
              <w:t xml:space="preserve">FTE </w:t>
            </w:r>
            <w:r w:rsidR="00782178" w:rsidRPr="00372CBD">
              <w:rPr>
                <w:highlight w:val="white"/>
              </w:rPr>
              <w:t>student</w:t>
            </w:r>
          </w:p>
        </w:tc>
        <w:tc>
          <w:tcPr>
            <w:tcW w:w="4378" w:type="dxa"/>
          </w:tcPr>
          <w:p w14:paraId="3472AB55" w14:textId="34882770" w:rsidR="009C2C61" w:rsidRPr="00372CBD" w:rsidRDefault="009C2C61" w:rsidP="00372CBD">
            <w:pPr>
              <w:pStyle w:val="ListParagraph"/>
              <w:numPr>
                <w:ilvl w:val="0"/>
                <w:numId w:val="45"/>
              </w:numPr>
              <w:rPr>
                <w:highlight w:val="white"/>
              </w:rPr>
            </w:pPr>
            <w:r w:rsidRPr="00372CBD">
              <w:rPr>
                <w:highlight w:val="white"/>
              </w:rPr>
              <w:t xml:space="preserve">Tenure </w:t>
            </w:r>
            <w:r w:rsidR="00782178" w:rsidRPr="00372CBD">
              <w:rPr>
                <w:highlight w:val="white"/>
              </w:rPr>
              <w:t>tr</w:t>
            </w:r>
            <w:r w:rsidRPr="00372CBD">
              <w:rPr>
                <w:highlight w:val="white"/>
              </w:rPr>
              <w:t>ack FTE</w:t>
            </w:r>
          </w:p>
        </w:tc>
      </w:tr>
      <w:tr w:rsidR="009C2C61" w14:paraId="02F7B160" w14:textId="2E239E1E" w:rsidTr="00372CBD">
        <w:trPr>
          <w:trHeight w:val="602"/>
        </w:trPr>
        <w:tc>
          <w:tcPr>
            <w:tcW w:w="4953" w:type="dxa"/>
          </w:tcPr>
          <w:p w14:paraId="1317612D" w14:textId="0A391867" w:rsidR="009C2C61" w:rsidRPr="00372CBD" w:rsidRDefault="009C2C61" w:rsidP="00372CBD">
            <w:pPr>
              <w:pStyle w:val="ListParagraph"/>
              <w:numPr>
                <w:ilvl w:val="0"/>
                <w:numId w:val="45"/>
              </w:numPr>
              <w:rPr>
                <w:highlight w:val="white"/>
              </w:rPr>
            </w:pPr>
            <w:r w:rsidRPr="00372CBD">
              <w:rPr>
                <w:highlight w:val="white"/>
              </w:rPr>
              <w:t xml:space="preserve">FTE </w:t>
            </w:r>
            <w:r w:rsidR="00782178" w:rsidRPr="00372CBD">
              <w:rPr>
                <w:highlight w:val="white"/>
              </w:rPr>
              <w:t xml:space="preserve">student </w:t>
            </w:r>
            <w:r w:rsidRPr="00372CBD">
              <w:rPr>
                <w:highlight w:val="white"/>
              </w:rPr>
              <w:t xml:space="preserve">for FTE </w:t>
            </w:r>
            <w:r w:rsidR="00782178" w:rsidRPr="00372CBD">
              <w:rPr>
                <w:highlight w:val="white"/>
              </w:rPr>
              <w:t>e</w:t>
            </w:r>
            <w:r w:rsidRPr="00372CBD">
              <w:rPr>
                <w:highlight w:val="white"/>
              </w:rPr>
              <w:t xml:space="preserve">mployee </w:t>
            </w:r>
            <w:r w:rsidR="00782178" w:rsidRPr="00372CBD">
              <w:rPr>
                <w:highlight w:val="white"/>
              </w:rPr>
              <w:t>r</w:t>
            </w:r>
            <w:r w:rsidRPr="00372CBD">
              <w:rPr>
                <w:highlight w:val="white"/>
              </w:rPr>
              <w:t>atio</w:t>
            </w:r>
          </w:p>
        </w:tc>
        <w:tc>
          <w:tcPr>
            <w:tcW w:w="4378" w:type="dxa"/>
          </w:tcPr>
          <w:p w14:paraId="2775AE41" w14:textId="6B92D579" w:rsidR="009C2C61" w:rsidRPr="00372CBD" w:rsidRDefault="009C2C61" w:rsidP="00372CBD">
            <w:pPr>
              <w:pStyle w:val="ListParagraph"/>
              <w:numPr>
                <w:ilvl w:val="0"/>
                <w:numId w:val="45"/>
              </w:numPr>
              <w:rPr>
                <w:highlight w:val="white"/>
              </w:rPr>
            </w:pPr>
            <w:r w:rsidRPr="00372CBD">
              <w:rPr>
                <w:highlight w:val="white"/>
              </w:rPr>
              <w:t xml:space="preserve">FTFY </w:t>
            </w:r>
            <w:proofErr w:type="gramStart"/>
            <w:r w:rsidR="00782178" w:rsidRPr="00372CBD">
              <w:rPr>
                <w:highlight w:val="white"/>
              </w:rPr>
              <w:t>f</w:t>
            </w:r>
            <w:r w:rsidRPr="00372CBD">
              <w:rPr>
                <w:highlight w:val="white"/>
              </w:rPr>
              <w:t xml:space="preserve">our </w:t>
            </w:r>
            <w:r w:rsidR="00782178" w:rsidRPr="00372CBD">
              <w:rPr>
                <w:highlight w:val="white"/>
              </w:rPr>
              <w:t>y</w:t>
            </w:r>
            <w:r w:rsidRPr="00372CBD">
              <w:rPr>
                <w:highlight w:val="white"/>
              </w:rPr>
              <w:t>ear</w:t>
            </w:r>
            <w:proofErr w:type="gramEnd"/>
            <w:r w:rsidRPr="00372CBD">
              <w:rPr>
                <w:highlight w:val="white"/>
              </w:rPr>
              <w:t xml:space="preserve"> </w:t>
            </w:r>
            <w:r w:rsidR="00782178" w:rsidRPr="00372CBD">
              <w:rPr>
                <w:highlight w:val="white"/>
              </w:rPr>
              <w:t>g</w:t>
            </w:r>
            <w:r w:rsidRPr="00372CBD">
              <w:rPr>
                <w:highlight w:val="white"/>
              </w:rPr>
              <w:t xml:space="preserve">rad </w:t>
            </w:r>
            <w:r w:rsidR="00782178" w:rsidRPr="00372CBD">
              <w:rPr>
                <w:highlight w:val="white"/>
              </w:rPr>
              <w:t>r</w:t>
            </w:r>
            <w:r w:rsidRPr="00372CBD">
              <w:rPr>
                <w:highlight w:val="white"/>
              </w:rPr>
              <w:t>ates</w:t>
            </w:r>
          </w:p>
        </w:tc>
      </w:tr>
      <w:tr w:rsidR="009C2C61" w14:paraId="3A25A7D4" w14:textId="68AAC6C8" w:rsidTr="00372CBD">
        <w:trPr>
          <w:trHeight w:val="461"/>
        </w:trPr>
        <w:tc>
          <w:tcPr>
            <w:tcW w:w="4953" w:type="dxa"/>
          </w:tcPr>
          <w:p w14:paraId="735C61ED" w14:textId="12F1E069" w:rsidR="009C2C61" w:rsidRPr="00372CBD" w:rsidRDefault="009C2C61" w:rsidP="00372CBD">
            <w:pPr>
              <w:pStyle w:val="ListParagraph"/>
              <w:numPr>
                <w:ilvl w:val="0"/>
                <w:numId w:val="45"/>
              </w:numPr>
              <w:rPr>
                <w:highlight w:val="white"/>
              </w:rPr>
            </w:pPr>
            <w:r w:rsidRPr="00372CBD">
              <w:rPr>
                <w:highlight w:val="white"/>
              </w:rPr>
              <w:t xml:space="preserve">Major </w:t>
            </w:r>
            <w:r w:rsidR="00782178" w:rsidRPr="00372CBD">
              <w:rPr>
                <w:highlight w:val="white"/>
              </w:rPr>
              <w:t>e</w:t>
            </w:r>
            <w:r w:rsidRPr="00372CBD">
              <w:rPr>
                <w:highlight w:val="white"/>
              </w:rPr>
              <w:t>nrollment</w:t>
            </w:r>
          </w:p>
        </w:tc>
        <w:tc>
          <w:tcPr>
            <w:tcW w:w="4378" w:type="dxa"/>
          </w:tcPr>
          <w:p w14:paraId="7A98D852" w14:textId="58A68D45" w:rsidR="009C2C61" w:rsidRPr="00372CBD" w:rsidRDefault="009C2C61" w:rsidP="00372CBD">
            <w:pPr>
              <w:pStyle w:val="ListParagraph"/>
              <w:numPr>
                <w:ilvl w:val="0"/>
                <w:numId w:val="45"/>
              </w:numPr>
              <w:rPr>
                <w:highlight w:val="white"/>
              </w:rPr>
            </w:pPr>
            <w:r w:rsidRPr="00372CBD">
              <w:rPr>
                <w:highlight w:val="white"/>
              </w:rPr>
              <w:t xml:space="preserve">FTFY </w:t>
            </w:r>
            <w:r w:rsidR="00782178" w:rsidRPr="00372CBD">
              <w:rPr>
                <w:highlight w:val="white"/>
              </w:rPr>
              <w:t>r</w:t>
            </w:r>
            <w:r w:rsidRPr="00372CBD">
              <w:rPr>
                <w:highlight w:val="white"/>
              </w:rPr>
              <w:t xml:space="preserve">etention </w:t>
            </w:r>
            <w:r w:rsidR="00782178" w:rsidRPr="00372CBD">
              <w:rPr>
                <w:highlight w:val="white"/>
              </w:rPr>
              <w:t>r</w:t>
            </w:r>
            <w:r w:rsidRPr="00372CBD">
              <w:rPr>
                <w:highlight w:val="white"/>
              </w:rPr>
              <w:t>ate</w:t>
            </w:r>
          </w:p>
        </w:tc>
      </w:tr>
      <w:tr w:rsidR="009C2C61" w14:paraId="249000CE" w14:textId="54AFB0AF" w:rsidTr="00372CBD">
        <w:trPr>
          <w:trHeight w:val="387"/>
        </w:trPr>
        <w:tc>
          <w:tcPr>
            <w:tcW w:w="4953" w:type="dxa"/>
          </w:tcPr>
          <w:p w14:paraId="51A43B9E" w14:textId="284CA9B7" w:rsidR="009C2C61" w:rsidRPr="00372CBD" w:rsidRDefault="009C2C61" w:rsidP="00372CBD">
            <w:pPr>
              <w:pStyle w:val="ListParagraph"/>
              <w:numPr>
                <w:ilvl w:val="0"/>
                <w:numId w:val="45"/>
              </w:numPr>
              <w:rPr>
                <w:highlight w:val="white"/>
              </w:rPr>
            </w:pPr>
            <w:r w:rsidRPr="00372CBD">
              <w:rPr>
                <w:highlight w:val="white"/>
              </w:rPr>
              <w:t xml:space="preserve">Majors to FTE </w:t>
            </w:r>
            <w:r w:rsidR="00782178" w:rsidRPr="00372CBD">
              <w:rPr>
                <w:highlight w:val="white"/>
              </w:rPr>
              <w:t>e</w:t>
            </w:r>
            <w:r w:rsidRPr="00372CBD">
              <w:rPr>
                <w:highlight w:val="white"/>
              </w:rPr>
              <w:t xml:space="preserve">mployee </w:t>
            </w:r>
            <w:r w:rsidR="00782178" w:rsidRPr="00372CBD">
              <w:rPr>
                <w:highlight w:val="white"/>
              </w:rPr>
              <w:t>r</w:t>
            </w:r>
            <w:r w:rsidRPr="00372CBD">
              <w:rPr>
                <w:highlight w:val="white"/>
              </w:rPr>
              <w:t>atio</w:t>
            </w:r>
          </w:p>
        </w:tc>
        <w:tc>
          <w:tcPr>
            <w:tcW w:w="4378" w:type="dxa"/>
          </w:tcPr>
          <w:p w14:paraId="7319FCD1" w14:textId="3D8A94A0" w:rsidR="009C2C61" w:rsidRPr="00372CBD" w:rsidRDefault="009C2C61" w:rsidP="00372CBD">
            <w:pPr>
              <w:pStyle w:val="ListParagraph"/>
              <w:numPr>
                <w:ilvl w:val="0"/>
                <w:numId w:val="45"/>
              </w:numPr>
              <w:rPr>
                <w:highlight w:val="white"/>
              </w:rPr>
            </w:pPr>
            <w:r w:rsidRPr="00372CBD">
              <w:rPr>
                <w:highlight w:val="white"/>
              </w:rPr>
              <w:t xml:space="preserve">Junior </w:t>
            </w:r>
            <w:r w:rsidR="00782178" w:rsidRPr="00372CBD">
              <w:rPr>
                <w:highlight w:val="white"/>
              </w:rPr>
              <w:t>s</w:t>
            </w:r>
            <w:r w:rsidRPr="00372CBD">
              <w:rPr>
                <w:highlight w:val="white"/>
              </w:rPr>
              <w:t xml:space="preserve">tanding </w:t>
            </w:r>
            <w:proofErr w:type="gramStart"/>
            <w:r w:rsidR="00782178" w:rsidRPr="00372CBD">
              <w:rPr>
                <w:highlight w:val="white"/>
              </w:rPr>
              <w:t>t</w:t>
            </w:r>
            <w:r w:rsidRPr="00372CBD">
              <w:rPr>
                <w:highlight w:val="white"/>
              </w:rPr>
              <w:t xml:space="preserve">wo </w:t>
            </w:r>
            <w:r w:rsidR="00782178" w:rsidRPr="00372CBD">
              <w:rPr>
                <w:highlight w:val="white"/>
              </w:rPr>
              <w:t>y</w:t>
            </w:r>
            <w:r w:rsidRPr="00372CBD">
              <w:rPr>
                <w:highlight w:val="white"/>
              </w:rPr>
              <w:t>ear</w:t>
            </w:r>
            <w:proofErr w:type="gramEnd"/>
            <w:r w:rsidRPr="00372CBD">
              <w:rPr>
                <w:highlight w:val="white"/>
              </w:rPr>
              <w:t xml:space="preserve"> </w:t>
            </w:r>
            <w:r w:rsidR="00782178" w:rsidRPr="00372CBD">
              <w:rPr>
                <w:highlight w:val="white"/>
              </w:rPr>
              <w:t>g</w:t>
            </w:r>
            <w:r w:rsidRPr="00372CBD">
              <w:rPr>
                <w:highlight w:val="white"/>
              </w:rPr>
              <w:t xml:space="preserve">rad </w:t>
            </w:r>
            <w:r w:rsidR="00782178" w:rsidRPr="00372CBD">
              <w:rPr>
                <w:highlight w:val="white"/>
              </w:rPr>
              <w:t>r</w:t>
            </w:r>
            <w:r w:rsidRPr="00372CBD">
              <w:rPr>
                <w:highlight w:val="white"/>
              </w:rPr>
              <w:t>ate</w:t>
            </w:r>
          </w:p>
        </w:tc>
      </w:tr>
      <w:tr w:rsidR="009C2C61" w14:paraId="78F33E59" w14:textId="4704D68F" w:rsidTr="00372CBD">
        <w:trPr>
          <w:trHeight w:val="461"/>
        </w:trPr>
        <w:tc>
          <w:tcPr>
            <w:tcW w:w="4953" w:type="dxa"/>
          </w:tcPr>
          <w:p w14:paraId="437BA199" w14:textId="417ACD3C" w:rsidR="009C2C61" w:rsidRPr="00372CBD" w:rsidRDefault="009C2C61" w:rsidP="00372CBD">
            <w:pPr>
              <w:pStyle w:val="ListParagraph"/>
              <w:numPr>
                <w:ilvl w:val="0"/>
                <w:numId w:val="45"/>
              </w:numPr>
              <w:rPr>
                <w:highlight w:val="white"/>
              </w:rPr>
            </w:pPr>
            <w:r w:rsidRPr="00372CBD">
              <w:rPr>
                <w:highlight w:val="white"/>
              </w:rPr>
              <w:t xml:space="preserve">Majors to </w:t>
            </w:r>
            <w:r w:rsidR="00782178" w:rsidRPr="00372CBD">
              <w:rPr>
                <w:highlight w:val="white"/>
              </w:rPr>
              <w:t>tenure t</w:t>
            </w:r>
            <w:r w:rsidRPr="00372CBD">
              <w:rPr>
                <w:highlight w:val="white"/>
              </w:rPr>
              <w:t xml:space="preserve">rack FTE </w:t>
            </w:r>
            <w:r w:rsidR="00782178" w:rsidRPr="00372CBD">
              <w:rPr>
                <w:highlight w:val="white"/>
              </w:rPr>
              <w:t>r</w:t>
            </w:r>
            <w:r w:rsidRPr="00372CBD">
              <w:rPr>
                <w:highlight w:val="white"/>
              </w:rPr>
              <w:t>atio</w:t>
            </w:r>
          </w:p>
        </w:tc>
        <w:tc>
          <w:tcPr>
            <w:tcW w:w="4378" w:type="dxa"/>
          </w:tcPr>
          <w:p w14:paraId="1FA816E0" w14:textId="4019A201" w:rsidR="009C2C61" w:rsidRPr="00372CBD" w:rsidRDefault="009C2C61" w:rsidP="00372CBD">
            <w:pPr>
              <w:pStyle w:val="ListParagraph"/>
              <w:numPr>
                <w:ilvl w:val="0"/>
                <w:numId w:val="45"/>
              </w:numPr>
              <w:rPr>
                <w:highlight w:val="white"/>
              </w:rPr>
            </w:pPr>
            <w:r w:rsidRPr="00372CBD">
              <w:rPr>
                <w:highlight w:val="white"/>
              </w:rPr>
              <w:t xml:space="preserve">Transfer </w:t>
            </w:r>
            <w:proofErr w:type="gramStart"/>
            <w:r w:rsidR="00782178" w:rsidRPr="00372CBD">
              <w:rPr>
                <w:highlight w:val="white"/>
              </w:rPr>
              <w:t>t</w:t>
            </w:r>
            <w:r w:rsidRPr="00372CBD">
              <w:rPr>
                <w:highlight w:val="white"/>
              </w:rPr>
              <w:t xml:space="preserve">wo </w:t>
            </w:r>
            <w:r w:rsidR="00782178" w:rsidRPr="00372CBD">
              <w:rPr>
                <w:highlight w:val="white"/>
              </w:rPr>
              <w:t>y</w:t>
            </w:r>
            <w:r w:rsidRPr="00372CBD">
              <w:rPr>
                <w:highlight w:val="white"/>
              </w:rPr>
              <w:t>ear</w:t>
            </w:r>
            <w:proofErr w:type="gramEnd"/>
            <w:r w:rsidRPr="00372CBD">
              <w:rPr>
                <w:highlight w:val="white"/>
              </w:rPr>
              <w:t xml:space="preserve"> </w:t>
            </w:r>
            <w:r w:rsidR="00782178" w:rsidRPr="00372CBD">
              <w:rPr>
                <w:highlight w:val="white"/>
              </w:rPr>
              <w:t>g</w:t>
            </w:r>
            <w:r w:rsidRPr="00372CBD">
              <w:rPr>
                <w:highlight w:val="white"/>
              </w:rPr>
              <w:t xml:space="preserve">rad </w:t>
            </w:r>
            <w:r w:rsidR="00782178" w:rsidRPr="00372CBD">
              <w:rPr>
                <w:highlight w:val="white"/>
              </w:rPr>
              <w:t>r</w:t>
            </w:r>
            <w:r w:rsidRPr="00372CBD">
              <w:rPr>
                <w:highlight w:val="white"/>
              </w:rPr>
              <w:t>ate</w:t>
            </w:r>
          </w:p>
        </w:tc>
      </w:tr>
    </w:tbl>
    <w:p w14:paraId="556D3D13" w14:textId="77777777" w:rsidR="00CB079E" w:rsidRDefault="00CB079E" w:rsidP="009C2C61">
      <w:pPr>
        <w:spacing w:after="0" w:line="240" w:lineRule="auto"/>
        <w:rPr>
          <w:sz w:val="20"/>
          <w:szCs w:val="20"/>
        </w:rPr>
      </w:pPr>
    </w:p>
    <w:p w14:paraId="5ACCDFDC" w14:textId="1F7F9C68" w:rsidR="00CB079E" w:rsidRDefault="00CB079E" w:rsidP="00CB079E">
      <w:pPr>
        <w:spacing w:line="480" w:lineRule="auto"/>
        <w:ind w:firstLine="720"/>
      </w:pPr>
      <w:r>
        <w:t>To support campus efforts to rebuild enrollment, many of SSU’s newer Tableau dashboards are designed to inform strategic enrollment management efforts</w:t>
      </w:r>
      <w:r w:rsidR="00231DD9">
        <w:t xml:space="preserve"> (</w:t>
      </w:r>
      <w:r w:rsidR="002F088A">
        <w:t>s</w:t>
      </w:r>
      <w:r w:rsidR="00231DD9">
        <w:t xml:space="preserve">ee </w:t>
      </w:r>
      <w:r w:rsidR="00782178" w:rsidRPr="00411167">
        <w:t>a</w:t>
      </w:r>
      <w:r w:rsidR="00DB2390" w:rsidRPr="00411167">
        <w:t>ppendix</w:t>
      </w:r>
      <w:r w:rsidR="00231DD9" w:rsidRPr="00411167">
        <w:t xml:space="preserve"> 4</w:t>
      </w:r>
      <w:r w:rsidR="00231DD9">
        <w:t xml:space="preserve"> for the link to the enrollment reports available through Tableau)</w:t>
      </w:r>
      <w:r>
        <w:t xml:space="preserve">. One provides a full look at applicants to enrollments, providing count and yield trends at the university, school, and department levels for various student </w:t>
      </w:r>
      <w:r>
        <w:lastRenderedPageBreak/>
        <w:t>populations (e.g., first time first year, transfers, and postbaccalaureate/graduates). Another dashboard uses data from the National Student Clearinghouse to provide insight into where admits go when they decide not to accept an offer of admission from SSU</w:t>
      </w:r>
      <w:r w:rsidR="004E53F3">
        <w:t xml:space="preserve"> allowing </w:t>
      </w:r>
      <w:r w:rsidR="00C95D93">
        <w:t xml:space="preserve">the </w:t>
      </w:r>
      <w:r w:rsidR="002F088A">
        <w:t xml:space="preserve">office </w:t>
      </w:r>
      <w:r w:rsidR="004E53F3">
        <w:t xml:space="preserve">of </w:t>
      </w:r>
      <w:r w:rsidR="002F088A">
        <w:t xml:space="preserve">strategic enrollment </w:t>
      </w:r>
      <w:r w:rsidR="00782178">
        <w:t xml:space="preserve">(OSE) </w:t>
      </w:r>
      <w:r w:rsidR="004E53F3">
        <w:t>to refine its marketing and recruitment messages</w:t>
      </w:r>
      <w:r>
        <w:t>. A third provides daily FTES updates at the course, department, school</w:t>
      </w:r>
      <w:r w:rsidR="00231DD9">
        <w:t>,</w:t>
      </w:r>
      <w:r>
        <w:t xml:space="preserve"> and university levels. </w:t>
      </w:r>
    </w:p>
    <w:p w14:paraId="00B4F296" w14:textId="7F25D8E6" w:rsidR="00CB079E" w:rsidRDefault="00CB079E" w:rsidP="00CB079E">
      <w:pPr>
        <w:spacing w:line="480" w:lineRule="auto"/>
        <w:ind w:firstLine="720"/>
      </w:pPr>
      <w:r>
        <w:t>To encourage widespread usage of Tableau, the</w:t>
      </w:r>
      <w:r w:rsidR="00AA5638">
        <w:t xml:space="preserve"> main landing page</w:t>
      </w:r>
      <w:r>
        <w:t xml:space="preserve"> provides support and navigation tips, and training sessions have been provided to faculty</w:t>
      </w:r>
      <w:r w:rsidR="00AA5638">
        <w:t xml:space="preserve"> (</w:t>
      </w:r>
      <w:r w:rsidR="002F088A">
        <w:t xml:space="preserve">see </w:t>
      </w:r>
      <w:r w:rsidR="00782178" w:rsidRPr="00411167">
        <w:t>a</w:t>
      </w:r>
      <w:r w:rsidR="00DB2390" w:rsidRPr="00411167">
        <w:t>ppendix</w:t>
      </w:r>
      <w:r w:rsidR="00AA5638" w:rsidRPr="00411167">
        <w:t xml:space="preserve"> 4</w:t>
      </w:r>
      <w:r w:rsidR="00AA5638">
        <w:t xml:space="preserve"> for a link to the main landing page for Tableau)</w:t>
      </w:r>
      <w:r>
        <w:t xml:space="preserve">. Tableau data is critical to SSU’s tracking and reporting processes, both internally and externally. The dashboards provide readily available information for aggregated, institutional-level reports (such as overall graduation and retention rates) as well as department-specific, fine-grained analyses (such as investigating specific courses in which achievement gaps are occurring). </w:t>
      </w:r>
    </w:p>
    <w:p w14:paraId="38CB1B0A" w14:textId="617E763F" w:rsidR="00CB079E" w:rsidRDefault="00CB079E" w:rsidP="00EE384A">
      <w:pPr>
        <w:pStyle w:val="Heading2"/>
      </w:pPr>
      <w:r w:rsidRPr="002B20B8">
        <w:t>CSU Student Success Dashboard</w:t>
      </w:r>
    </w:p>
    <w:p w14:paraId="4B8B4B1E" w14:textId="77777777" w:rsidR="00EE384A" w:rsidRPr="00EE384A" w:rsidRDefault="00EE384A" w:rsidP="00EE384A"/>
    <w:p w14:paraId="62D93176" w14:textId="75DEA499" w:rsidR="00CB079E" w:rsidRDefault="00CB079E" w:rsidP="00CB079E">
      <w:pPr>
        <w:spacing w:line="480" w:lineRule="auto"/>
      </w:pPr>
      <w:r>
        <w:tab/>
        <w:t xml:space="preserve">A second data tool that is widely used by SSU faculty, staff, and administrators is the CSU’s </w:t>
      </w:r>
      <w:r w:rsidR="002F088A">
        <w:t xml:space="preserve">student success dashboard </w:t>
      </w:r>
      <w:r w:rsidR="004E53F3">
        <w:t>(</w:t>
      </w:r>
      <w:r w:rsidR="00782178">
        <w:t>SSD; s</w:t>
      </w:r>
      <w:r w:rsidR="004E53F3">
        <w:t xml:space="preserve">ee </w:t>
      </w:r>
      <w:r w:rsidR="00782178" w:rsidRPr="00411167">
        <w:t>a</w:t>
      </w:r>
      <w:r w:rsidR="00DB2390" w:rsidRPr="00411167">
        <w:t>ppendix</w:t>
      </w:r>
      <w:r w:rsidR="004E53F3" w:rsidRPr="00411167">
        <w:t xml:space="preserve"> 4</w:t>
      </w:r>
      <w:r w:rsidR="004E53F3">
        <w:t xml:space="preserve"> for a link to the </w:t>
      </w:r>
      <w:r w:rsidR="00782178">
        <w:t>SSD</w:t>
      </w:r>
      <w:r w:rsidR="004E53F3">
        <w:t>)</w:t>
      </w:r>
      <w:r>
        <w:t xml:space="preserve">. Developed by the CSU’s </w:t>
      </w:r>
      <w:r w:rsidR="00782178">
        <w:t>c</w:t>
      </w:r>
      <w:r>
        <w:t xml:space="preserve">hancellor’s </w:t>
      </w:r>
      <w:r w:rsidR="00782178">
        <w:t>o</w:t>
      </w:r>
      <w:r>
        <w:t>ffice</w:t>
      </w:r>
      <w:r w:rsidR="00695946">
        <w:t xml:space="preserve"> and promoted to campus by </w:t>
      </w:r>
      <w:r w:rsidR="004A51A7">
        <w:t>OIE</w:t>
      </w:r>
      <w:r>
        <w:t>, th</w:t>
      </w:r>
      <w:r w:rsidR="00AA5638">
        <w:t>is</w:t>
      </w:r>
      <w:r>
        <w:t xml:space="preserve"> resource provides a comprehensive set of dashboards related to four key areas. First, there are dashboards to track SSU’s progress on achieving its GI2025 goals. Second, the faculty dashboard compiles a variety of data to help faculty gain a better understanding of the demographics and enrollment patterns of their students. It also identifies bottleneck courses with high D/F/W rates and those with GPA equity gaps. Third, a historical trends dashboard provides CSU campuses with data on historic graduate rates, equity gap trends, and comparisons to other universities. Fourth, the equity gaps dashboard drills down into more details on campus-specific equity gaps and provides information on ways to narrow equity gaps. </w:t>
      </w:r>
    </w:p>
    <w:p w14:paraId="414B7793" w14:textId="39CD9DE2" w:rsidR="00CB079E" w:rsidRDefault="00CB079E" w:rsidP="00EE384A">
      <w:pPr>
        <w:pStyle w:val="Heading2"/>
      </w:pPr>
      <w:proofErr w:type="spellStart"/>
      <w:r w:rsidRPr="002B20B8">
        <w:lastRenderedPageBreak/>
        <w:t>LoboConnect</w:t>
      </w:r>
      <w:proofErr w:type="spellEnd"/>
    </w:p>
    <w:p w14:paraId="202EB4BB" w14:textId="77777777" w:rsidR="00EE384A" w:rsidRPr="00EE384A" w:rsidRDefault="00EE384A" w:rsidP="00EE384A"/>
    <w:p w14:paraId="073717F9" w14:textId="119101A2" w:rsidR="00CB079E" w:rsidRDefault="00CB079E" w:rsidP="001E47E1">
      <w:pPr>
        <w:spacing w:after="0" w:line="480" w:lineRule="auto"/>
        <w:rPr>
          <w:highlight w:val="white"/>
        </w:rPr>
      </w:pPr>
      <w:r>
        <w:tab/>
        <w:t xml:space="preserve">The third data tool that has enhanced SSU’s support of student success is </w:t>
      </w:r>
      <w:proofErr w:type="spellStart"/>
      <w:r>
        <w:t>LoboConnect</w:t>
      </w:r>
      <w:proofErr w:type="spellEnd"/>
      <w:r>
        <w:t xml:space="preserve">, which is a customized version of EAB’s Navigate software that SSU launched in </w:t>
      </w:r>
      <w:r w:rsidR="00841753">
        <w:t>fall</w:t>
      </w:r>
      <w:r>
        <w:t xml:space="preserve"> 2019</w:t>
      </w:r>
      <w:r w:rsidR="004E53F3">
        <w:t xml:space="preserve"> (</w:t>
      </w:r>
      <w:r w:rsidR="002F088A">
        <w:t xml:space="preserve">see </w:t>
      </w:r>
      <w:r w:rsidR="00782178" w:rsidRPr="00411167">
        <w:t>a</w:t>
      </w:r>
      <w:r w:rsidR="00DB2390" w:rsidRPr="00411167">
        <w:t>ppendix</w:t>
      </w:r>
      <w:r w:rsidR="004E53F3" w:rsidRPr="00411167">
        <w:t xml:space="preserve"> 4</w:t>
      </w:r>
      <w:r w:rsidR="004E53F3">
        <w:t xml:space="preserve"> for a link to information regarding </w:t>
      </w:r>
      <w:proofErr w:type="spellStart"/>
      <w:r w:rsidR="004E53F3">
        <w:t>LoboConnect</w:t>
      </w:r>
      <w:proofErr w:type="spellEnd"/>
      <w:r w:rsidR="004E53F3">
        <w:t>)</w:t>
      </w:r>
      <w:r>
        <w:t xml:space="preserve">. </w:t>
      </w:r>
      <w:proofErr w:type="spellStart"/>
      <w:r>
        <w:rPr>
          <w:highlight w:val="white"/>
        </w:rPr>
        <w:t>LoboConnect</w:t>
      </w:r>
      <w:proofErr w:type="spellEnd"/>
      <w:r>
        <w:rPr>
          <w:highlight w:val="white"/>
        </w:rPr>
        <w:t xml:space="preserve"> is a web-based tool that connects students, faculty, and staff in a network of support centered on student success. </w:t>
      </w:r>
      <w:proofErr w:type="spellStart"/>
      <w:r>
        <w:rPr>
          <w:highlight w:val="white"/>
        </w:rPr>
        <w:t>LoboConnect</w:t>
      </w:r>
      <w:proofErr w:type="spellEnd"/>
      <w:r>
        <w:rPr>
          <w:highlight w:val="white"/>
        </w:rPr>
        <w:t xml:space="preserve"> is a centralized place for students to make advising and </w:t>
      </w:r>
      <w:r w:rsidR="00782178">
        <w:rPr>
          <w:highlight w:val="white"/>
        </w:rPr>
        <w:t xml:space="preserve">career center </w:t>
      </w:r>
      <w:r>
        <w:rPr>
          <w:highlight w:val="white"/>
        </w:rPr>
        <w:t xml:space="preserve">appointments, communicate with faculty and staff, and access other support services via the web or an app (which launched in </w:t>
      </w:r>
      <w:r w:rsidR="00841753">
        <w:rPr>
          <w:highlight w:val="white"/>
        </w:rPr>
        <w:t>fall</w:t>
      </w:r>
      <w:r>
        <w:rPr>
          <w:highlight w:val="white"/>
        </w:rPr>
        <w:t xml:space="preserve"> 2020). Faculty and advisors use the system for better tracking of advisees, reports on student progress, and communications touchpoints with students.</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LoboConnect Benefits for Faculty, Staff, and Students"/>
        <w:tblDescription w:val="A table listing the Loboconnect student benefits and the Loboconnect faculty/staff benefits."/>
      </w:tblPr>
      <w:tblGrid>
        <w:gridCol w:w="4675"/>
        <w:gridCol w:w="4675"/>
      </w:tblGrid>
      <w:tr w:rsidR="00CB079E" w:rsidRPr="00CC59BF" w14:paraId="7B6D5D40" w14:textId="77777777" w:rsidTr="00661CEC">
        <w:tc>
          <w:tcPr>
            <w:tcW w:w="4675" w:type="dxa"/>
          </w:tcPr>
          <w:p w14:paraId="679F6F91" w14:textId="77777777" w:rsidR="00CB079E" w:rsidRPr="0042241A" w:rsidRDefault="00CB079E" w:rsidP="00661CEC">
            <w:pPr>
              <w:rPr>
                <w:rStyle w:val="Strong"/>
                <w:highlight w:val="white"/>
              </w:rPr>
            </w:pPr>
            <w:proofErr w:type="spellStart"/>
            <w:r w:rsidRPr="0042241A">
              <w:rPr>
                <w:rStyle w:val="Strong"/>
                <w:highlight w:val="white"/>
              </w:rPr>
              <w:t>LoboConnect</w:t>
            </w:r>
            <w:proofErr w:type="spellEnd"/>
            <w:r w:rsidRPr="0042241A">
              <w:rPr>
                <w:rStyle w:val="Strong"/>
                <w:highlight w:val="white"/>
              </w:rPr>
              <w:t xml:space="preserve"> Benefits for Students</w:t>
            </w:r>
          </w:p>
        </w:tc>
        <w:tc>
          <w:tcPr>
            <w:tcW w:w="4675" w:type="dxa"/>
          </w:tcPr>
          <w:p w14:paraId="6A87EBC9" w14:textId="77777777" w:rsidR="00CB079E" w:rsidRPr="0042241A" w:rsidRDefault="00CB079E" w:rsidP="00661CEC">
            <w:pPr>
              <w:rPr>
                <w:rStyle w:val="Strong"/>
                <w:highlight w:val="white"/>
              </w:rPr>
            </w:pPr>
            <w:proofErr w:type="spellStart"/>
            <w:r w:rsidRPr="0042241A">
              <w:rPr>
                <w:rStyle w:val="Strong"/>
                <w:highlight w:val="white"/>
              </w:rPr>
              <w:t>LoboConnect</w:t>
            </w:r>
            <w:proofErr w:type="spellEnd"/>
            <w:r w:rsidRPr="0042241A">
              <w:rPr>
                <w:rStyle w:val="Strong"/>
                <w:highlight w:val="white"/>
              </w:rPr>
              <w:t xml:space="preserve"> Benefits for Staff/Faculty</w:t>
            </w:r>
          </w:p>
        </w:tc>
      </w:tr>
      <w:tr w:rsidR="00CB079E" w14:paraId="39DE19AA" w14:textId="77777777" w:rsidTr="00661CEC">
        <w:tc>
          <w:tcPr>
            <w:tcW w:w="4675" w:type="dxa"/>
          </w:tcPr>
          <w:p w14:paraId="2D9F5B49" w14:textId="77777777" w:rsidR="00CB079E" w:rsidRPr="00CC59BF" w:rsidRDefault="00CB079E" w:rsidP="00DA5365">
            <w:pPr>
              <w:numPr>
                <w:ilvl w:val="0"/>
                <w:numId w:val="10"/>
              </w:numPr>
              <w:spacing w:after="0"/>
              <w:ind w:left="335" w:hanging="270"/>
              <w:rPr>
                <w:sz w:val="20"/>
                <w:szCs w:val="20"/>
              </w:rPr>
            </w:pPr>
            <w:r w:rsidRPr="00CC59BF">
              <w:rPr>
                <w:sz w:val="20"/>
                <w:szCs w:val="20"/>
                <w:highlight w:val="white"/>
              </w:rPr>
              <w:t>Students can use the mobile app for easy access</w:t>
            </w:r>
          </w:p>
          <w:p w14:paraId="557DBCE3" w14:textId="77777777" w:rsidR="00CB079E" w:rsidRPr="00CC59BF" w:rsidRDefault="00CB079E" w:rsidP="00DA5365">
            <w:pPr>
              <w:numPr>
                <w:ilvl w:val="0"/>
                <w:numId w:val="9"/>
              </w:numPr>
              <w:spacing w:after="0"/>
              <w:ind w:left="335" w:hanging="270"/>
              <w:rPr>
                <w:sz w:val="20"/>
                <w:szCs w:val="20"/>
              </w:rPr>
            </w:pPr>
            <w:r w:rsidRPr="00CC59BF">
              <w:rPr>
                <w:sz w:val="20"/>
                <w:szCs w:val="20"/>
              </w:rPr>
              <w:t>Offers quick way to schedule advising appointments</w:t>
            </w:r>
          </w:p>
          <w:p w14:paraId="53C4213D" w14:textId="77777777" w:rsidR="00CB079E" w:rsidRPr="00CC59BF" w:rsidRDefault="00CB079E" w:rsidP="00DA5365">
            <w:pPr>
              <w:numPr>
                <w:ilvl w:val="0"/>
                <w:numId w:val="9"/>
              </w:numPr>
              <w:spacing w:after="0"/>
              <w:ind w:left="335" w:hanging="270"/>
              <w:rPr>
                <w:sz w:val="20"/>
                <w:szCs w:val="20"/>
              </w:rPr>
            </w:pPr>
            <w:r w:rsidRPr="00CC59BF">
              <w:rPr>
                <w:sz w:val="20"/>
                <w:szCs w:val="20"/>
              </w:rPr>
              <w:t>Connects students to support services faster</w:t>
            </w:r>
          </w:p>
          <w:p w14:paraId="263BF3A8" w14:textId="77777777" w:rsidR="00CB079E" w:rsidRPr="00CC59BF" w:rsidRDefault="00CB079E" w:rsidP="00DA5365">
            <w:pPr>
              <w:numPr>
                <w:ilvl w:val="0"/>
                <w:numId w:val="9"/>
              </w:numPr>
              <w:spacing w:after="0"/>
              <w:ind w:left="335" w:hanging="270"/>
              <w:rPr>
                <w:sz w:val="20"/>
                <w:szCs w:val="20"/>
              </w:rPr>
            </w:pPr>
            <w:r w:rsidRPr="00CC59BF">
              <w:rPr>
                <w:sz w:val="20"/>
                <w:szCs w:val="20"/>
              </w:rPr>
              <w:t>Provides appointment notifications and reminders</w:t>
            </w:r>
          </w:p>
          <w:p w14:paraId="64FF4D58" w14:textId="77777777" w:rsidR="00CB079E" w:rsidRPr="00CC59BF" w:rsidRDefault="00CB079E" w:rsidP="00DA5365">
            <w:pPr>
              <w:numPr>
                <w:ilvl w:val="0"/>
                <w:numId w:val="9"/>
              </w:numPr>
              <w:spacing w:after="0"/>
              <w:ind w:left="335" w:hanging="270"/>
              <w:rPr>
                <w:sz w:val="20"/>
                <w:szCs w:val="20"/>
              </w:rPr>
            </w:pPr>
            <w:r w:rsidRPr="00CC59BF">
              <w:rPr>
                <w:sz w:val="20"/>
                <w:szCs w:val="20"/>
              </w:rPr>
              <w:t>Offers a new view of students’ class schedule</w:t>
            </w:r>
          </w:p>
          <w:p w14:paraId="31471697" w14:textId="1B2392EA" w:rsidR="00CB079E" w:rsidRPr="00CC59BF" w:rsidRDefault="00CB079E" w:rsidP="00DA5365">
            <w:pPr>
              <w:numPr>
                <w:ilvl w:val="0"/>
                <w:numId w:val="9"/>
              </w:numPr>
              <w:spacing w:after="0"/>
              <w:ind w:left="335" w:hanging="270"/>
              <w:rPr>
                <w:sz w:val="20"/>
                <w:szCs w:val="20"/>
              </w:rPr>
            </w:pPr>
            <w:r w:rsidRPr="00CC59BF">
              <w:rPr>
                <w:sz w:val="20"/>
                <w:szCs w:val="20"/>
              </w:rPr>
              <w:t xml:space="preserve">Helps students find </w:t>
            </w:r>
            <w:r w:rsidR="00782178">
              <w:rPr>
                <w:sz w:val="20"/>
                <w:szCs w:val="20"/>
              </w:rPr>
              <w:t>s</w:t>
            </w:r>
            <w:r w:rsidRPr="00CC59BF">
              <w:rPr>
                <w:sz w:val="20"/>
                <w:szCs w:val="20"/>
              </w:rPr>
              <w:t xml:space="preserve">tudy </w:t>
            </w:r>
            <w:r w:rsidR="00782178">
              <w:rPr>
                <w:sz w:val="20"/>
                <w:szCs w:val="20"/>
              </w:rPr>
              <w:t>b</w:t>
            </w:r>
            <w:r w:rsidRPr="00CC59BF">
              <w:rPr>
                <w:sz w:val="20"/>
                <w:szCs w:val="20"/>
              </w:rPr>
              <w:t>uddies in their courses</w:t>
            </w:r>
          </w:p>
          <w:p w14:paraId="0F3A6EBB" w14:textId="77777777" w:rsidR="00CB079E" w:rsidRPr="00CC59BF" w:rsidRDefault="00CB079E" w:rsidP="00DA5365">
            <w:pPr>
              <w:numPr>
                <w:ilvl w:val="0"/>
                <w:numId w:val="9"/>
              </w:numPr>
              <w:spacing w:after="0"/>
              <w:ind w:left="335" w:hanging="270"/>
              <w:rPr>
                <w:sz w:val="20"/>
                <w:szCs w:val="20"/>
              </w:rPr>
            </w:pPr>
            <w:r w:rsidRPr="00CC59BF">
              <w:rPr>
                <w:sz w:val="20"/>
                <w:szCs w:val="20"/>
              </w:rPr>
              <w:t>Offers ways to explore major options, and learn more about careers</w:t>
            </w:r>
          </w:p>
          <w:p w14:paraId="4FB6C789" w14:textId="77777777" w:rsidR="00CB079E" w:rsidRDefault="00CB079E" w:rsidP="00DA5365">
            <w:pPr>
              <w:numPr>
                <w:ilvl w:val="0"/>
                <w:numId w:val="9"/>
              </w:numPr>
              <w:spacing w:after="180"/>
              <w:ind w:left="335" w:hanging="270"/>
              <w:rPr>
                <w:color w:val="000000"/>
                <w:sz w:val="20"/>
                <w:szCs w:val="20"/>
              </w:rPr>
            </w:pPr>
            <w:r w:rsidRPr="00CC59BF">
              <w:rPr>
                <w:sz w:val="20"/>
                <w:szCs w:val="20"/>
              </w:rPr>
              <w:t>Provides information on resource locations, hours, contact information, and more</w:t>
            </w:r>
          </w:p>
        </w:tc>
        <w:tc>
          <w:tcPr>
            <w:tcW w:w="4675" w:type="dxa"/>
          </w:tcPr>
          <w:p w14:paraId="3211B72D" w14:textId="77777777" w:rsidR="00CB079E" w:rsidRDefault="00CB079E" w:rsidP="00DA5365">
            <w:pPr>
              <w:numPr>
                <w:ilvl w:val="0"/>
                <w:numId w:val="9"/>
              </w:numPr>
              <w:spacing w:after="0"/>
              <w:ind w:left="340" w:hanging="270"/>
              <w:rPr>
                <w:color w:val="000000"/>
                <w:sz w:val="20"/>
                <w:szCs w:val="20"/>
              </w:rPr>
            </w:pPr>
            <w:r>
              <w:rPr>
                <w:color w:val="000000"/>
                <w:sz w:val="20"/>
                <w:szCs w:val="20"/>
              </w:rPr>
              <w:t>Provides easy-to-use search functionality</w:t>
            </w:r>
          </w:p>
          <w:p w14:paraId="6CACFC1B" w14:textId="77777777" w:rsidR="00CB079E" w:rsidRDefault="00CB079E" w:rsidP="00DA5365">
            <w:pPr>
              <w:numPr>
                <w:ilvl w:val="0"/>
                <w:numId w:val="9"/>
              </w:numPr>
              <w:spacing w:after="0"/>
              <w:ind w:left="340" w:hanging="270"/>
              <w:rPr>
                <w:color w:val="000000"/>
                <w:sz w:val="20"/>
                <w:szCs w:val="20"/>
              </w:rPr>
            </w:pPr>
            <w:r>
              <w:rPr>
                <w:color w:val="000000"/>
                <w:sz w:val="20"/>
                <w:szCs w:val="20"/>
              </w:rPr>
              <w:t>Enables referrals to connect students to a network of campus partners</w:t>
            </w:r>
          </w:p>
          <w:p w14:paraId="435091F1" w14:textId="77777777" w:rsidR="00CB079E" w:rsidRDefault="00CB079E" w:rsidP="00DA5365">
            <w:pPr>
              <w:numPr>
                <w:ilvl w:val="0"/>
                <w:numId w:val="9"/>
              </w:numPr>
              <w:spacing w:after="0"/>
              <w:ind w:left="340" w:hanging="270"/>
              <w:rPr>
                <w:color w:val="000000"/>
                <w:sz w:val="20"/>
                <w:szCs w:val="20"/>
              </w:rPr>
            </w:pPr>
            <w:r>
              <w:rPr>
                <w:color w:val="000000"/>
                <w:sz w:val="20"/>
                <w:szCs w:val="20"/>
              </w:rPr>
              <w:t>Documents appointments with students</w:t>
            </w:r>
          </w:p>
          <w:p w14:paraId="04FBA764" w14:textId="35CE62B6" w:rsidR="00CB079E" w:rsidRDefault="00CB079E" w:rsidP="00DA5365">
            <w:pPr>
              <w:numPr>
                <w:ilvl w:val="0"/>
                <w:numId w:val="9"/>
              </w:numPr>
              <w:spacing w:after="0"/>
              <w:ind w:left="340" w:hanging="270"/>
              <w:rPr>
                <w:color w:val="000000"/>
                <w:sz w:val="20"/>
                <w:szCs w:val="20"/>
              </w:rPr>
            </w:pPr>
            <w:r>
              <w:rPr>
                <w:color w:val="000000"/>
                <w:sz w:val="20"/>
                <w:szCs w:val="20"/>
              </w:rPr>
              <w:t xml:space="preserve">Provides ability to quickly generate lists of students using </w:t>
            </w:r>
            <w:r w:rsidR="00782178">
              <w:rPr>
                <w:color w:val="000000"/>
                <w:sz w:val="20"/>
                <w:szCs w:val="20"/>
              </w:rPr>
              <w:t>a</w:t>
            </w:r>
            <w:r>
              <w:rPr>
                <w:color w:val="000000"/>
                <w:sz w:val="20"/>
                <w:szCs w:val="20"/>
              </w:rPr>
              <w:t xml:space="preserve">dvanced </w:t>
            </w:r>
            <w:r w:rsidR="00782178">
              <w:rPr>
                <w:color w:val="000000"/>
                <w:sz w:val="20"/>
                <w:szCs w:val="20"/>
              </w:rPr>
              <w:t>s</w:t>
            </w:r>
            <w:r>
              <w:rPr>
                <w:color w:val="000000"/>
                <w:sz w:val="20"/>
                <w:szCs w:val="20"/>
              </w:rPr>
              <w:t>earch tools</w:t>
            </w:r>
          </w:p>
          <w:p w14:paraId="45515CD4" w14:textId="67227E62" w:rsidR="00CB079E" w:rsidRDefault="00CB079E" w:rsidP="00DA5365">
            <w:pPr>
              <w:numPr>
                <w:ilvl w:val="0"/>
                <w:numId w:val="9"/>
              </w:numPr>
              <w:spacing w:after="0"/>
              <w:ind w:left="340" w:hanging="270"/>
              <w:rPr>
                <w:color w:val="000000"/>
                <w:sz w:val="20"/>
                <w:szCs w:val="20"/>
              </w:rPr>
            </w:pPr>
            <w:r>
              <w:rPr>
                <w:color w:val="000000"/>
                <w:sz w:val="20"/>
                <w:szCs w:val="20"/>
              </w:rPr>
              <w:t xml:space="preserve">Creates </w:t>
            </w:r>
            <w:r w:rsidR="00782178">
              <w:rPr>
                <w:color w:val="000000"/>
                <w:sz w:val="20"/>
                <w:szCs w:val="20"/>
              </w:rPr>
              <w:t>s</w:t>
            </w:r>
            <w:r>
              <w:rPr>
                <w:color w:val="000000"/>
                <w:sz w:val="20"/>
                <w:szCs w:val="20"/>
              </w:rPr>
              <w:t xml:space="preserve">mart </w:t>
            </w:r>
            <w:r w:rsidR="00782178">
              <w:rPr>
                <w:color w:val="000000"/>
                <w:sz w:val="20"/>
                <w:szCs w:val="20"/>
              </w:rPr>
              <w:t>s</w:t>
            </w:r>
            <w:r>
              <w:rPr>
                <w:color w:val="000000"/>
                <w:sz w:val="20"/>
                <w:szCs w:val="20"/>
              </w:rPr>
              <w:t>tudent profiles</w:t>
            </w:r>
          </w:p>
          <w:p w14:paraId="5D62FF04" w14:textId="77777777" w:rsidR="00CB079E" w:rsidRDefault="00CB079E" w:rsidP="00DA5365">
            <w:pPr>
              <w:numPr>
                <w:ilvl w:val="0"/>
                <w:numId w:val="9"/>
              </w:numPr>
              <w:spacing w:after="180"/>
              <w:ind w:left="340" w:hanging="270"/>
              <w:rPr>
                <w:color w:val="000000"/>
                <w:sz w:val="20"/>
                <w:szCs w:val="20"/>
              </w:rPr>
            </w:pPr>
            <w:r>
              <w:rPr>
                <w:color w:val="000000"/>
                <w:sz w:val="20"/>
                <w:szCs w:val="20"/>
              </w:rPr>
              <w:t>Facilitates multimodal communication and proactive outreach</w:t>
            </w:r>
          </w:p>
        </w:tc>
      </w:tr>
    </w:tbl>
    <w:p w14:paraId="188B671A" w14:textId="77777777" w:rsidR="00CB079E" w:rsidRDefault="00CB079E" w:rsidP="00CB079E">
      <w:pPr>
        <w:spacing w:after="0" w:line="276" w:lineRule="auto"/>
        <w:rPr>
          <w:sz w:val="20"/>
          <w:szCs w:val="20"/>
        </w:rPr>
      </w:pPr>
    </w:p>
    <w:p w14:paraId="36FF09D7" w14:textId="5665A5EA" w:rsidR="00CB079E" w:rsidRDefault="00CB079E" w:rsidP="00CB079E">
      <w:pPr>
        <w:spacing w:after="0" w:line="480" w:lineRule="auto"/>
        <w:ind w:firstLine="720"/>
        <w:rPr>
          <w:color w:val="222222"/>
        </w:rPr>
      </w:pPr>
      <w:proofErr w:type="spellStart"/>
      <w:r>
        <w:t>LoboConnect</w:t>
      </w:r>
      <w:proofErr w:type="spellEnd"/>
      <w:r>
        <w:t xml:space="preserve"> </w:t>
      </w:r>
      <w:r>
        <w:rPr>
          <w:color w:val="222222"/>
        </w:rPr>
        <w:t xml:space="preserve">contains top-level historical data provided by the CSU going back to 2007 and, as a result, it </w:t>
      </w:r>
      <w:r>
        <w:t>provides enhanced reporting and tracking capability for SSU’s i</w:t>
      </w:r>
      <w:r>
        <w:rPr>
          <w:color w:val="222222"/>
        </w:rPr>
        <w:t xml:space="preserve">nstitutional reports. These reports allow the campus to explore broad trends and determine key indicators, such as the minimum grade in a course (or set of courses) that is an accurate predictor of a student's success in a major. </w:t>
      </w:r>
      <w:proofErr w:type="spellStart"/>
      <w:r>
        <w:rPr>
          <w:color w:val="222222"/>
        </w:rPr>
        <w:t>LoboConnect</w:t>
      </w:r>
      <w:proofErr w:type="spellEnd"/>
      <w:r>
        <w:rPr>
          <w:color w:val="222222"/>
        </w:rPr>
        <w:t xml:space="preserve"> also has multiple analytics dashboards that allow for a quick snapshot of the student body at large and </w:t>
      </w:r>
      <w:r w:rsidR="008552DC">
        <w:rPr>
          <w:color w:val="222222"/>
        </w:rPr>
        <w:t xml:space="preserve">that </w:t>
      </w:r>
      <w:r>
        <w:rPr>
          <w:color w:val="222222"/>
        </w:rPr>
        <w:t xml:space="preserve">enable easy comparison of different populations on campus (e.g., the population </w:t>
      </w:r>
      <w:r>
        <w:rPr>
          <w:color w:val="222222"/>
        </w:rPr>
        <w:lastRenderedPageBreak/>
        <w:t>health dashboard). In addition, the system’s reporting capability allows for heavily customizable exports of data for use by faculty, advisors, and administrators. A few examples are provided below:</w:t>
      </w:r>
    </w:p>
    <w:p w14:paraId="71295C30" w14:textId="7D28C426" w:rsidR="00CB079E" w:rsidRDefault="00CB079E" w:rsidP="00DA5365">
      <w:pPr>
        <w:numPr>
          <w:ilvl w:val="0"/>
          <w:numId w:val="11"/>
        </w:numPr>
        <w:spacing w:after="0" w:line="240" w:lineRule="auto"/>
        <w:ind w:left="1080"/>
        <w:rPr>
          <w:color w:val="222222"/>
        </w:rPr>
      </w:pPr>
      <w:r>
        <w:rPr>
          <w:color w:val="222222"/>
        </w:rPr>
        <w:t>Appointment/</w:t>
      </w:r>
      <w:r w:rsidR="00782178">
        <w:rPr>
          <w:color w:val="222222"/>
        </w:rPr>
        <w:t>v</w:t>
      </w:r>
      <w:r>
        <w:rPr>
          <w:color w:val="222222"/>
        </w:rPr>
        <w:t xml:space="preserve">isit </w:t>
      </w:r>
      <w:r w:rsidR="00782178">
        <w:rPr>
          <w:color w:val="222222"/>
        </w:rPr>
        <w:t>r</w:t>
      </w:r>
      <w:r>
        <w:rPr>
          <w:color w:val="222222"/>
        </w:rPr>
        <w:t xml:space="preserve">eports show all appointment summaries filed by a specific service unit, like the </w:t>
      </w:r>
      <w:r w:rsidR="00782178">
        <w:rPr>
          <w:color w:val="222222"/>
        </w:rPr>
        <w:t>c</w:t>
      </w:r>
      <w:r>
        <w:rPr>
          <w:color w:val="222222"/>
        </w:rPr>
        <w:t xml:space="preserve">areer </w:t>
      </w:r>
      <w:r w:rsidR="00782178">
        <w:rPr>
          <w:color w:val="222222"/>
        </w:rPr>
        <w:t>c</w:t>
      </w:r>
      <w:r>
        <w:rPr>
          <w:color w:val="222222"/>
        </w:rPr>
        <w:t xml:space="preserve">enter, or those written by a specific advisor. Or the report could show all summaries written about a particular student by advisors as well as different service units like LARC and the </w:t>
      </w:r>
      <w:r w:rsidR="00782178">
        <w:rPr>
          <w:color w:val="222222"/>
        </w:rPr>
        <w:t>a</w:t>
      </w:r>
      <w:r>
        <w:rPr>
          <w:color w:val="222222"/>
        </w:rPr>
        <w:t xml:space="preserve">dvising </w:t>
      </w:r>
      <w:r w:rsidR="00782178">
        <w:rPr>
          <w:color w:val="222222"/>
        </w:rPr>
        <w:t>c</w:t>
      </w:r>
      <w:r>
        <w:rPr>
          <w:color w:val="222222"/>
        </w:rPr>
        <w:t>enter.</w:t>
      </w:r>
    </w:p>
    <w:p w14:paraId="5AC28A88" w14:textId="4DDC2AFE" w:rsidR="00CB079E" w:rsidRDefault="00CB079E" w:rsidP="00DA5365">
      <w:pPr>
        <w:numPr>
          <w:ilvl w:val="0"/>
          <w:numId w:val="11"/>
        </w:numPr>
        <w:spacing w:after="0" w:line="240" w:lineRule="auto"/>
        <w:ind w:left="1080"/>
        <w:rPr>
          <w:color w:val="222222"/>
        </w:rPr>
      </w:pPr>
      <w:r>
        <w:rPr>
          <w:color w:val="222222"/>
        </w:rPr>
        <w:t xml:space="preserve">Intervention </w:t>
      </w:r>
      <w:r w:rsidR="00782178">
        <w:rPr>
          <w:color w:val="222222"/>
        </w:rPr>
        <w:t>r</w:t>
      </w:r>
      <w:r>
        <w:rPr>
          <w:color w:val="222222"/>
        </w:rPr>
        <w:t>eports allow for the tracking of progress report campaigns and cases opened by professors who are concerned about a student's success in a class</w:t>
      </w:r>
    </w:p>
    <w:p w14:paraId="74496F3A" w14:textId="67F70511" w:rsidR="00CB079E" w:rsidRDefault="00CB079E" w:rsidP="00DA5365">
      <w:pPr>
        <w:numPr>
          <w:ilvl w:val="0"/>
          <w:numId w:val="11"/>
        </w:numPr>
        <w:spacing w:after="0" w:line="240" w:lineRule="auto"/>
        <w:ind w:left="1080"/>
        <w:rPr>
          <w:color w:val="222222"/>
        </w:rPr>
      </w:pPr>
      <w:r>
        <w:rPr>
          <w:color w:val="222222"/>
        </w:rPr>
        <w:t xml:space="preserve">Student </w:t>
      </w:r>
      <w:r w:rsidR="00782178">
        <w:rPr>
          <w:color w:val="222222"/>
        </w:rPr>
        <w:t xml:space="preserve">data reports </w:t>
      </w:r>
      <w:r>
        <w:rPr>
          <w:color w:val="222222"/>
        </w:rPr>
        <w:t>allow for detailed examination of student enrollments. This has been particularly helpful in re-enrollment efforts, allowing advisors to quickly see what all of their students are enrolled in, in a single exported spreadsheet</w:t>
      </w:r>
    </w:p>
    <w:p w14:paraId="403CEC85" w14:textId="77777777" w:rsidR="00CB079E" w:rsidRDefault="00CB079E" w:rsidP="00CB079E"/>
    <w:p w14:paraId="7C4A8C3F" w14:textId="77777777" w:rsidR="00CB079E" w:rsidRDefault="00CB079E" w:rsidP="001E47E1">
      <w:pPr>
        <w:spacing w:after="0" w:line="480" w:lineRule="auto"/>
      </w:pPr>
      <w:r>
        <w:rPr>
          <w:color w:val="222222"/>
        </w:rPr>
        <w:t xml:space="preserve">As the system rolls out in the coming semesters, training will be provided to support faculty and staff adoption of </w:t>
      </w:r>
      <w:proofErr w:type="spellStart"/>
      <w:r>
        <w:rPr>
          <w:color w:val="222222"/>
        </w:rPr>
        <w:t>LoboConnect</w:t>
      </w:r>
      <w:proofErr w:type="spellEnd"/>
      <w:r>
        <w:rPr>
          <w:color w:val="222222"/>
        </w:rPr>
        <w:t>.</w:t>
      </w:r>
    </w:p>
    <w:p w14:paraId="52F3363C" w14:textId="032A0D7C" w:rsidR="00CB079E" w:rsidRDefault="00CB079E" w:rsidP="0042241A">
      <w:pPr>
        <w:pStyle w:val="Heading2"/>
      </w:pPr>
      <w:proofErr w:type="spellStart"/>
      <w:r w:rsidRPr="002B20B8">
        <w:t>Engage@SSU</w:t>
      </w:r>
      <w:proofErr w:type="spellEnd"/>
    </w:p>
    <w:p w14:paraId="7F53F8FA" w14:textId="77777777" w:rsidR="0042241A" w:rsidRPr="0042241A" w:rsidRDefault="0042241A" w:rsidP="0042241A"/>
    <w:p w14:paraId="18EC5044" w14:textId="0B049129" w:rsidR="004E53F3" w:rsidRPr="007647D8" w:rsidRDefault="00CB079E" w:rsidP="007647D8">
      <w:pPr>
        <w:spacing w:after="0" w:line="480" w:lineRule="auto"/>
        <w:ind w:firstLine="720"/>
      </w:pPr>
      <w:r>
        <w:t xml:space="preserve">The fourth data tool that supports student success was launched in 2019 by SSU’s Student Affairs division. The </w:t>
      </w:r>
      <w:proofErr w:type="spellStart"/>
      <w:r>
        <w:t>Engage@SSU</w:t>
      </w:r>
      <w:proofErr w:type="spellEnd"/>
      <w:r>
        <w:t xml:space="preserve"> platform enables online student engagement and involvement in the co-curricular environment</w:t>
      </w:r>
      <w:r w:rsidR="004E53F3">
        <w:t xml:space="preserve"> (See </w:t>
      </w:r>
      <w:r w:rsidR="00782178" w:rsidRPr="00411167">
        <w:t>a</w:t>
      </w:r>
      <w:r w:rsidR="00DB2390" w:rsidRPr="00411167">
        <w:t>ppendix</w:t>
      </w:r>
      <w:r w:rsidR="004E53F3" w:rsidRPr="00411167">
        <w:t xml:space="preserve"> 4</w:t>
      </w:r>
      <w:r w:rsidR="004E53F3">
        <w:t xml:space="preserve"> for a link to </w:t>
      </w:r>
      <w:proofErr w:type="spellStart"/>
      <w:r w:rsidR="004E53F3">
        <w:t>Engage@SSU</w:t>
      </w:r>
      <w:proofErr w:type="spellEnd"/>
      <w:r w:rsidR="004E53F3">
        <w:t>)</w:t>
      </w:r>
      <w:r>
        <w:t xml:space="preserve">. </w:t>
      </w:r>
      <w:r>
        <w:rPr>
          <w:highlight w:val="white"/>
        </w:rPr>
        <w:t xml:space="preserve">It also houses important sign-up forms, contests, news, and announcements from across campus. </w:t>
      </w:r>
      <w:r>
        <w:t xml:space="preserve">All sororities, fraternities, registered student organizations, and </w:t>
      </w:r>
      <w:r w:rsidR="00782178">
        <w:t xml:space="preserve">associated students </w:t>
      </w:r>
      <w:r>
        <w:t xml:space="preserve">transitioned to </w:t>
      </w:r>
      <w:proofErr w:type="spellStart"/>
      <w:r>
        <w:t>Engage@SSU</w:t>
      </w:r>
      <w:proofErr w:type="spellEnd"/>
      <w:r>
        <w:t xml:space="preserve"> in 2019. As of </w:t>
      </w:r>
      <w:proofErr w:type="gramStart"/>
      <w:r w:rsidR="00782178">
        <w:t>summer</w:t>
      </w:r>
      <w:proofErr w:type="gramEnd"/>
      <w:r w:rsidR="00782178">
        <w:t xml:space="preserve"> </w:t>
      </w:r>
      <w:r>
        <w:t xml:space="preserve">2020, the system was fully adopted and the </w:t>
      </w:r>
      <w:r w:rsidR="00782178">
        <w:t xml:space="preserve">division </w:t>
      </w:r>
      <w:r>
        <w:t xml:space="preserve">of </w:t>
      </w:r>
      <w:r w:rsidR="00782178">
        <w:t xml:space="preserve">student affairs </w:t>
      </w:r>
      <w:r>
        <w:t xml:space="preserve">moved all appropriate online engagement to the new platform. </w:t>
      </w:r>
      <w:proofErr w:type="spellStart"/>
      <w:r>
        <w:rPr>
          <w:highlight w:val="white"/>
        </w:rPr>
        <w:t>Engage@SSU</w:t>
      </w:r>
      <w:proofErr w:type="spellEnd"/>
      <w:r>
        <w:rPr>
          <w:highlight w:val="white"/>
        </w:rPr>
        <w:t xml:space="preserve"> is currently home to over 120 student organization portals</w:t>
      </w:r>
      <w:r>
        <w:t xml:space="preserve">. </w:t>
      </w:r>
      <w:proofErr w:type="spellStart"/>
      <w:r>
        <w:t>Engage@SSU</w:t>
      </w:r>
      <w:proofErr w:type="spellEnd"/>
      <w:r>
        <w:t xml:space="preserve"> has built-in assessment and analytic tools, so that student participation and attendance data can be collected. In addition, the system allows for embedded assessment of events and programs. </w:t>
      </w:r>
      <w:r w:rsidR="004E53F3">
        <w:t xml:space="preserve">Data and reports from </w:t>
      </w:r>
      <w:proofErr w:type="spellStart"/>
      <w:r w:rsidR="004E53F3">
        <w:t>Engage@SSU</w:t>
      </w:r>
      <w:proofErr w:type="spellEnd"/>
      <w:r w:rsidR="004E53F3">
        <w:t xml:space="preserve"> allows Student Affairs staff and administrators to better align engagement opportunities for students with student interest and with the campus </w:t>
      </w:r>
      <w:r w:rsidR="00782178">
        <w:t>strategic plan</w:t>
      </w:r>
      <w:r w:rsidR="004E53F3">
        <w:t>.</w:t>
      </w:r>
    </w:p>
    <w:p w14:paraId="2C10A606" w14:textId="53839219" w:rsidR="00CB079E" w:rsidRDefault="00CB079E" w:rsidP="0042241A">
      <w:pPr>
        <w:pStyle w:val="Heading2"/>
      </w:pPr>
      <w:r w:rsidRPr="002B20B8">
        <w:lastRenderedPageBreak/>
        <w:t>SSU’s Strategic Planning Tools and Continuous Improvement</w:t>
      </w:r>
    </w:p>
    <w:p w14:paraId="79889CA0" w14:textId="77777777" w:rsidR="0042241A" w:rsidRPr="0042241A" w:rsidRDefault="0042241A" w:rsidP="0042241A"/>
    <w:p w14:paraId="15BDFAFD" w14:textId="5A0A00AB" w:rsidR="00CB079E" w:rsidRDefault="00CB079E" w:rsidP="001E47E1">
      <w:pPr>
        <w:spacing w:after="0" w:line="480" w:lineRule="auto"/>
      </w:pPr>
      <w:r>
        <w:tab/>
        <w:t xml:space="preserve">In addition to those described above, there are other data tools that assist SSU in evaluating the results of student learning and success goals. Most notably, as described in the response to </w:t>
      </w:r>
      <w:r w:rsidR="004E53F3">
        <w:t xml:space="preserve">WSCUC </w:t>
      </w:r>
      <w:r>
        <w:t>recommendation #3</w:t>
      </w:r>
      <w:r w:rsidR="001741C8">
        <w:t xml:space="preserve"> above</w:t>
      </w:r>
      <w:r>
        <w:t>, all divisions are tracking progress on their student success goals relative to the university’s new strategic plan. Data tools that support these efforts include the Smart</w:t>
      </w:r>
      <w:r w:rsidR="00CA3B38">
        <w:t>s</w:t>
      </w:r>
      <w:r>
        <w:t xml:space="preserve">heet software and </w:t>
      </w:r>
      <w:proofErr w:type="spellStart"/>
      <w:r>
        <w:t>Questica</w:t>
      </w:r>
      <w:proofErr w:type="spellEnd"/>
      <w:r>
        <w:t xml:space="preserve"> budgeting software. </w:t>
      </w:r>
    </w:p>
    <w:p w14:paraId="34528857" w14:textId="352A9CF1" w:rsidR="00CB079E" w:rsidRDefault="00CB079E" w:rsidP="00CB079E">
      <w:pPr>
        <w:spacing w:line="480" w:lineRule="auto"/>
        <w:ind w:firstLine="720"/>
      </w:pPr>
      <w:r>
        <w:t xml:space="preserve">The university’s tracking and reporting capabilities have undergone a transformation in the past three years, and a new culture of evidence-based decision-making has evolved to steer the campus forward. In the next five years, the campus will expand the communication about the data tools that are available. Because these tools are relatively new, it is important to continue raising awareness of the tools and to provide more training opportunities to users and potential users. A resource that is under development is a mapping document that describes what each data tool does and what data can be accessed via which tool. A final goal is to </w:t>
      </w:r>
      <w:r w:rsidR="00695946">
        <w:t xml:space="preserve">continue tracking and </w:t>
      </w:r>
      <w:r>
        <w:t>create a feedback system for users, so that the data tools can be enhanced to support user needs.</w:t>
      </w:r>
    </w:p>
    <w:p w14:paraId="4BA29C37" w14:textId="384FC086" w:rsidR="00C56788" w:rsidRDefault="00C56788">
      <w:r>
        <w:br w:type="page"/>
      </w:r>
    </w:p>
    <w:p w14:paraId="2F9B2392" w14:textId="77777777" w:rsidR="00C56788" w:rsidRPr="00FF6EE9" w:rsidRDefault="00C56788" w:rsidP="0042241A">
      <w:pPr>
        <w:pStyle w:val="Heading1"/>
        <w:jc w:val="center"/>
      </w:pPr>
      <w:r w:rsidRPr="00FF6EE9">
        <w:lastRenderedPageBreak/>
        <w:t>SSU’s Follow-up Response to Recommendation #5</w:t>
      </w:r>
    </w:p>
    <w:p w14:paraId="6DB055C7" w14:textId="77777777" w:rsidR="00C56788" w:rsidRPr="0042241A" w:rsidRDefault="00C56788" w:rsidP="00587B17">
      <w:pPr>
        <w:pBdr>
          <w:top w:val="nil"/>
          <w:left w:val="nil"/>
          <w:bottom w:val="nil"/>
          <w:right w:val="nil"/>
          <w:between w:val="nil"/>
        </w:pBdr>
        <w:spacing w:after="0" w:line="240" w:lineRule="auto"/>
        <w:ind w:left="1440" w:right="1530"/>
        <w:jc w:val="center"/>
        <w:rPr>
          <w:rStyle w:val="Emphasis"/>
        </w:rPr>
      </w:pPr>
      <w:r w:rsidRPr="0042241A">
        <w:rPr>
          <w:rStyle w:val="Emphasis"/>
        </w:rPr>
        <w:t xml:space="preserve">[Creating an IT strategic plan to improve the student experience and advance the mission and vision of the institution. (CFR 4.6)] </w:t>
      </w:r>
    </w:p>
    <w:p w14:paraId="20D7A6E9" w14:textId="77777777" w:rsidR="00C56788" w:rsidRDefault="00C56788" w:rsidP="00C56788">
      <w:pPr>
        <w:rPr>
          <w:sz w:val="18"/>
          <w:szCs w:val="18"/>
        </w:rPr>
      </w:pPr>
      <w:r>
        <w:rPr>
          <w:sz w:val="18"/>
          <w:szCs w:val="18"/>
        </w:rPr>
        <w:t xml:space="preserve"> </w:t>
      </w:r>
    </w:p>
    <w:p w14:paraId="0C2AF69D" w14:textId="25DDDC2E" w:rsidR="00C56788" w:rsidRDefault="00C56788" w:rsidP="00FE5365">
      <w:pPr>
        <w:spacing w:after="0" w:line="480" w:lineRule="auto"/>
        <w:ind w:firstLine="720"/>
      </w:pPr>
      <w:r>
        <w:t xml:space="preserve">As described in the </w:t>
      </w:r>
      <w:r w:rsidR="00782178">
        <w:t xml:space="preserve">response </w:t>
      </w:r>
      <w:r>
        <w:t xml:space="preserve">to </w:t>
      </w:r>
      <w:r w:rsidR="00782178">
        <w:t xml:space="preserve">recommendation </w:t>
      </w:r>
      <w:r>
        <w:t xml:space="preserve">3, </w:t>
      </w:r>
      <w:r w:rsidR="00782178">
        <w:t>SSU</w:t>
      </w:r>
      <w:r>
        <w:t xml:space="preserve"> engaged in an extensive strategic planning process during 2017-18.</w:t>
      </w:r>
      <w:r w:rsidR="00661CEC">
        <w:t xml:space="preserve"> </w:t>
      </w:r>
      <w:r>
        <w:t>In 2018-19, divisions and departments developed their own strategic plans, and those plans were implemented in 2019-20.</w:t>
      </w:r>
      <w:r w:rsidR="00661CEC">
        <w:t xml:space="preserve"> </w:t>
      </w:r>
      <w:r>
        <w:t xml:space="preserve">As a part of this process, both the </w:t>
      </w:r>
      <w:r w:rsidR="002F088A">
        <w:t xml:space="preserve">information technology </w:t>
      </w:r>
      <w:r>
        <w:t>department</w:t>
      </w:r>
      <w:r w:rsidR="00782178">
        <w:t xml:space="preserve"> (IT)</w:t>
      </w:r>
      <w:r>
        <w:t xml:space="preserve"> and the </w:t>
      </w:r>
      <w:r w:rsidR="002F088A">
        <w:t xml:space="preserve">center </w:t>
      </w:r>
      <w:r>
        <w:t xml:space="preserve">for </w:t>
      </w:r>
      <w:r w:rsidR="002F088A">
        <w:t xml:space="preserve">teaching </w:t>
      </w:r>
      <w:r>
        <w:t xml:space="preserve">and </w:t>
      </w:r>
      <w:r w:rsidR="002F088A">
        <w:t xml:space="preserve">educational technology </w:t>
      </w:r>
      <w:r>
        <w:t>(</w:t>
      </w:r>
      <w:r w:rsidR="00CA3B38">
        <w:t xml:space="preserve">CTET; </w:t>
      </w:r>
      <w:r>
        <w:t xml:space="preserve">formerly known as </w:t>
      </w:r>
      <w:r w:rsidR="002F088A">
        <w:t>t</w:t>
      </w:r>
      <w:r>
        <w:t xml:space="preserve">he </w:t>
      </w:r>
      <w:r w:rsidR="002F088A">
        <w:t>faculty center</w:t>
      </w:r>
      <w:r>
        <w:t>) created strategic plans, with an aim to advance the university’s new mission and vision.</w:t>
      </w:r>
      <w:r w:rsidR="00661CEC">
        <w:t xml:space="preserve"> </w:t>
      </w:r>
      <w:r>
        <w:t>Each unit’s areas of focus are as follows:</w:t>
      </w:r>
    </w:p>
    <w:tbl>
      <w:tblPr>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Area of Focus for IT &amp; CTET"/>
        <w:tblDescription w:val="A table listing the area of focus for Information Technology and the area of focus for the Center for Teaching and Educational Technology (CTET)."/>
      </w:tblPr>
      <w:tblGrid>
        <w:gridCol w:w="4699"/>
        <w:gridCol w:w="4699"/>
      </w:tblGrid>
      <w:tr w:rsidR="00C56788" w14:paraId="7AC4EC97" w14:textId="77777777" w:rsidTr="0042241A">
        <w:trPr>
          <w:trHeight w:val="3451"/>
        </w:trPr>
        <w:tc>
          <w:tcPr>
            <w:tcW w:w="4699" w:type="dxa"/>
            <w:vAlign w:val="center"/>
          </w:tcPr>
          <w:p w14:paraId="6743A0D3" w14:textId="77777777" w:rsidR="00C56788" w:rsidRPr="00E15655" w:rsidRDefault="00C56788" w:rsidP="0042241A">
            <w:r w:rsidRPr="00E15655">
              <w:rPr>
                <w:highlight w:val="white"/>
              </w:rPr>
              <w:t>The Information Technology Department (IT) is responsible for services related to university-wide infrastructure (network, wireless, and cabling) and information systems (academic affairs, student services, business services, library system, telephone system, voice-mail, Internet, web services, etc.).</w:t>
            </w:r>
          </w:p>
        </w:tc>
        <w:tc>
          <w:tcPr>
            <w:tcW w:w="4699" w:type="dxa"/>
            <w:vAlign w:val="center"/>
          </w:tcPr>
          <w:p w14:paraId="287DBCE9" w14:textId="3C2340D6" w:rsidR="00C56788" w:rsidRPr="00E15655" w:rsidRDefault="00C56788" w:rsidP="0042241A">
            <w:r w:rsidRPr="00E15655">
              <w:t>The Center for Teaching &amp; Educational Technology (CTET) supports faculty in their professional development as teachers, scholars of education, and innovators in practice.</w:t>
            </w:r>
            <w:r w:rsidR="00661CEC" w:rsidRPr="00E15655">
              <w:t xml:space="preserve"> </w:t>
            </w:r>
            <w:r w:rsidRPr="00E15655">
              <w:t>CTET provides personalized consultations and targeted workshops to train faculty on how to best use technology to improve teaching.</w:t>
            </w:r>
          </w:p>
        </w:tc>
      </w:tr>
    </w:tbl>
    <w:p w14:paraId="6FB554AA" w14:textId="77777777" w:rsidR="00C56788" w:rsidRDefault="00C56788" w:rsidP="00FE5365">
      <w:pPr>
        <w:spacing w:after="0" w:line="240" w:lineRule="auto"/>
      </w:pPr>
    </w:p>
    <w:p w14:paraId="1A7DE8AF" w14:textId="6F4AD155" w:rsidR="00C56788" w:rsidRDefault="00C56788" w:rsidP="00C56788">
      <w:pPr>
        <w:spacing w:line="480" w:lineRule="auto"/>
        <w:ind w:firstLine="720"/>
      </w:pPr>
      <w:r>
        <w:t xml:space="preserve">SSU’s organizational structure situates both IT and CTET within </w:t>
      </w:r>
      <w:r w:rsidR="00782178">
        <w:t xml:space="preserve">academic affairs </w:t>
      </w:r>
      <w:r>
        <w:t xml:space="preserve">and has evolved so that the </w:t>
      </w:r>
      <w:r w:rsidR="00782178">
        <w:t>chief information officer (CIO)</w:t>
      </w:r>
      <w:r>
        <w:t xml:space="preserve"> of IT reports directly to the </w:t>
      </w:r>
      <w:r w:rsidR="00782178">
        <w:t>p</w:t>
      </w:r>
      <w:r>
        <w:t xml:space="preserve">rovost and the </w:t>
      </w:r>
      <w:r w:rsidR="00782178">
        <w:t>d</w:t>
      </w:r>
      <w:r>
        <w:t xml:space="preserve">irector of CTET reports to the </w:t>
      </w:r>
      <w:r w:rsidR="00782178">
        <w:t xml:space="preserve">associate vice president </w:t>
      </w:r>
      <w:r>
        <w:t xml:space="preserve">of </w:t>
      </w:r>
      <w:r w:rsidR="00782178">
        <w:t xml:space="preserve">faculty affairs </w:t>
      </w:r>
      <w:r>
        <w:t xml:space="preserve">(who reports to the </w:t>
      </w:r>
      <w:r w:rsidR="00782178">
        <w:t>provost</w:t>
      </w:r>
      <w:r>
        <w:t>)</w:t>
      </w:r>
      <w:r w:rsidR="001741C8">
        <w:t xml:space="preserve"> (see </w:t>
      </w:r>
      <w:r w:rsidR="001741C8" w:rsidRPr="00411167">
        <w:t>appendix 5</w:t>
      </w:r>
      <w:r w:rsidR="001741C8">
        <w:t xml:space="preserve"> for the academic affairs organization chart</w:t>
      </w:r>
      <w:r>
        <w:t>.</w:t>
      </w:r>
      <w:r w:rsidR="00661CEC">
        <w:t xml:space="preserve"> </w:t>
      </w:r>
      <w:r>
        <w:t xml:space="preserve">This structure effectively creates a two-pronged, collaborative effort within </w:t>
      </w:r>
      <w:r w:rsidR="00782178">
        <w:t xml:space="preserve">academic affairs </w:t>
      </w:r>
      <w:r>
        <w:t>to support SSU’s technology needs for teaching, learning, and student success</w:t>
      </w:r>
      <w:r w:rsidR="00DE73FE">
        <w:t xml:space="preserve"> (See </w:t>
      </w:r>
      <w:r w:rsidR="00782178">
        <w:t>a</w:t>
      </w:r>
      <w:r w:rsidR="00DB2390">
        <w:t>ppendix</w:t>
      </w:r>
      <w:r w:rsidR="00DE73FE" w:rsidRPr="004A51A7">
        <w:t xml:space="preserve"> 5</w:t>
      </w:r>
      <w:r w:rsidR="00DE73FE">
        <w:t xml:space="preserve"> for a link to the </w:t>
      </w:r>
      <w:r w:rsidR="00782178">
        <w:t xml:space="preserve">academic affairs </w:t>
      </w:r>
      <w:r w:rsidR="00DE73FE">
        <w:t>organization chart)</w:t>
      </w:r>
      <w:r>
        <w:t>.</w:t>
      </w:r>
      <w:r w:rsidR="00661CEC">
        <w:t xml:space="preserve"> </w:t>
      </w:r>
      <w:r>
        <w:t xml:space="preserve">Since </w:t>
      </w:r>
      <w:r w:rsidR="00661CEC">
        <w:t xml:space="preserve">WSCUC’s </w:t>
      </w:r>
      <w:r>
        <w:t>2017 visit, SSU has aligned its IT and academic technology efforts to drive the new strategic plan’s priorities, mission, and vision.</w:t>
      </w:r>
    </w:p>
    <w:p w14:paraId="6B543CD7" w14:textId="08ED9446" w:rsidR="00C56788" w:rsidRDefault="00C56788" w:rsidP="0042241A">
      <w:pPr>
        <w:pStyle w:val="Heading2"/>
      </w:pPr>
      <w:r>
        <w:lastRenderedPageBreak/>
        <w:t>IT’s Improvement Efforts and New Strategic Plan</w:t>
      </w:r>
    </w:p>
    <w:p w14:paraId="1D5DF582" w14:textId="77777777" w:rsidR="0042241A" w:rsidRPr="0042241A" w:rsidRDefault="0042241A" w:rsidP="0042241A"/>
    <w:p w14:paraId="19AEF7F3" w14:textId="52015F45" w:rsidR="00C56788" w:rsidRDefault="00C56788" w:rsidP="00C56788">
      <w:pPr>
        <w:spacing w:after="0" w:line="480" w:lineRule="auto"/>
        <w:ind w:firstLine="720"/>
      </w:pPr>
      <w:r>
        <w:t>In December 2017, a review of SSU’s IT services was initiated to assess key issue</w:t>
      </w:r>
      <w:r w:rsidR="00661CEC">
        <w:t>s</w:t>
      </w:r>
      <w:r>
        <w:t xml:space="preserve"> and opportunities</w:t>
      </w:r>
      <w:r w:rsidR="00661CEC">
        <w:t xml:space="preserve"> for improvement</w:t>
      </w:r>
      <w:r w:rsidR="00DE73FE">
        <w:t xml:space="preserve"> (</w:t>
      </w:r>
      <w:r w:rsidR="002F088A">
        <w:t xml:space="preserve">see </w:t>
      </w:r>
      <w:r w:rsidR="00782178" w:rsidRPr="00411167">
        <w:t>a</w:t>
      </w:r>
      <w:r w:rsidR="00DB2390" w:rsidRPr="00411167">
        <w:t>ppendix</w:t>
      </w:r>
      <w:r w:rsidR="00DE73FE" w:rsidRPr="00411167">
        <w:t xml:space="preserve"> 5</w:t>
      </w:r>
      <w:r w:rsidR="00DE73FE">
        <w:t xml:space="preserve"> for a link to the IT home page)</w:t>
      </w:r>
      <w:r>
        <w:t>.</w:t>
      </w:r>
      <w:r w:rsidR="00661CEC">
        <w:t xml:space="preserve"> </w:t>
      </w:r>
      <w:r>
        <w:t>A six-person review team, comprised of two consultants and four CSU IT professionals, reviewed background materials and then spent two days interviewing stakeholders on campus to identify ways that IT services could support SSU more effectively.</w:t>
      </w:r>
      <w:r w:rsidR="00661CEC">
        <w:t xml:space="preserve"> </w:t>
      </w:r>
      <w:r>
        <w:t>The findings resulted in an action plan that was communicated to the campus in February 2018.</w:t>
      </w:r>
      <w:r w:rsidR="00661CEC">
        <w:t xml:space="preserve"> The action plan and </w:t>
      </w:r>
      <w:r>
        <w:t>the results of the stated initiatives</w:t>
      </w:r>
      <w:r w:rsidR="00661CEC">
        <w:t xml:space="preserve"> are as follows</w:t>
      </w:r>
      <w:r>
        <w:t>:</w:t>
      </w:r>
    </w:p>
    <w:tbl>
      <w:tblPr>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Information Technology Action Plan"/>
        <w:tblDescription w:val="A table listing Information Technology action items and the results of the action items."/>
      </w:tblPr>
      <w:tblGrid>
        <w:gridCol w:w="2965"/>
        <w:gridCol w:w="6390"/>
      </w:tblGrid>
      <w:tr w:rsidR="00C56788" w14:paraId="0F702B79" w14:textId="77777777" w:rsidTr="00587B17">
        <w:tc>
          <w:tcPr>
            <w:tcW w:w="2965" w:type="dxa"/>
          </w:tcPr>
          <w:p w14:paraId="686AD1DC" w14:textId="77777777" w:rsidR="00C56788" w:rsidRPr="0042241A" w:rsidRDefault="00C56788" w:rsidP="00661CEC">
            <w:pPr>
              <w:rPr>
                <w:rStyle w:val="Strong"/>
              </w:rPr>
            </w:pPr>
            <w:r w:rsidRPr="0042241A">
              <w:rPr>
                <w:rStyle w:val="Strong"/>
              </w:rPr>
              <w:t>Action Item</w:t>
            </w:r>
          </w:p>
        </w:tc>
        <w:tc>
          <w:tcPr>
            <w:tcW w:w="6390" w:type="dxa"/>
          </w:tcPr>
          <w:p w14:paraId="6501C1AE" w14:textId="77777777" w:rsidR="00C56788" w:rsidRPr="0042241A" w:rsidRDefault="00C56788" w:rsidP="00661CEC">
            <w:pPr>
              <w:rPr>
                <w:rStyle w:val="Strong"/>
              </w:rPr>
            </w:pPr>
            <w:r w:rsidRPr="0042241A">
              <w:rPr>
                <w:rStyle w:val="Strong"/>
              </w:rPr>
              <w:t>Result</w:t>
            </w:r>
          </w:p>
        </w:tc>
      </w:tr>
      <w:tr w:rsidR="00C56788" w14:paraId="4EE2504A" w14:textId="77777777" w:rsidTr="00587B17">
        <w:trPr>
          <w:trHeight w:val="827"/>
        </w:trPr>
        <w:tc>
          <w:tcPr>
            <w:tcW w:w="2965" w:type="dxa"/>
            <w:vAlign w:val="center"/>
          </w:tcPr>
          <w:p w14:paraId="5D406CB7" w14:textId="77777777" w:rsidR="00C56788" w:rsidRDefault="00C56788" w:rsidP="00FE5365">
            <w:pPr>
              <w:spacing w:after="0"/>
              <w:rPr>
                <w:sz w:val="20"/>
                <w:szCs w:val="20"/>
              </w:rPr>
            </w:pPr>
            <w:r>
              <w:rPr>
                <w:sz w:val="20"/>
                <w:szCs w:val="20"/>
              </w:rPr>
              <w:t>Establish an IT advisory group to align IT services to campus needs and prioritize project requests</w:t>
            </w:r>
          </w:p>
        </w:tc>
        <w:tc>
          <w:tcPr>
            <w:tcW w:w="6390" w:type="dxa"/>
            <w:vAlign w:val="center"/>
          </w:tcPr>
          <w:p w14:paraId="0B978552" w14:textId="2555131D" w:rsidR="00C56788" w:rsidRPr="004A51A7" w:rsidRDefault="00C56788" w:rsidP="00661CEC">
            <w:pPr>
              <w:rPr>
                <w:color w:val="000000" w:themeColor="text1"/>
                <w:sz w:val="20"/>
                <w:szCs w:val="20"/>
              </w:rPr>
            </w:pPr>
            <w:r w:rsidRPr="004A51A7">
              <w:rPr>
                <w:color w:val="000000" w:themeColor="text1"/>
                <w:sz w:val="20"/>
                <w:szCs w:val="20"/>
                <w:highlight w:val="white"/>
              </w:rPr>
              <w:t xml:space="preserve">SSU established a university-wide IT Advisory Group (ITAG) in </w:t>
            </w:r>
            <w:r w:rsidR="00390AEB">
              <w:rPr>
                <w:color w:val="000000" w:themeColor="text1"/>
                <w:sz w:val="20"/>
                <w:szCs w:val="20"/>
                <w:highlight w:val="white"/>
              </w:rPr>
              <w:t>s</w:t>
            </w:r>
            <w:r w:rsidRPr="004A51A7">
              <w:rPr>
                <w:color w:val="000000" w:themeColor="text1"/>
                <w:sz w:val="20"/>
                <w:szCs w:val="20"/>
                <w:highlight w:val="white"/>
              </w:rPr>
              <w:t>pring 2018.</w:t>
            </w:r>
            <w:r w:rsidR="00661CEC" w:rsidRPr="004A51A7">
              <w:rPr>
                <w:color w:val="000000" w:themeColor="text1"/>
                <w:sz w:val="20"/>
                <w:szCs w:val="20"/>
              </w:rPr>
              <w:t xml:space="preserve"> </w:t>
            </w:r>
          </w:p>
        </w:tc>
      </w:tr>
      <w:tr w:rsidR="00C56788" w14:paraId="38D65867" w14:textId="77777777" w:rsidTr="00587B17">
        <w:trPr>
          <w:trHeight w:val="1079"/>
        </w:trPr>
        <w:tc>
          <w:tcPr>
            <w:tcW w:w="2965" w:type="dxa"/>
            <w:vAlign w:val="center"/>
          </w:tcPr>
          <w:p w14:paraId="5B2EF4E2" w14:textId="77777777" w:rsidR="00C56788" w:rsidRDefault="00C56788" w:rsidP="00661CEC">
            <w:pPr>
              <w:rPr>
                <w:sz w:val="20"/>
                <w:szCs w:val="20"/>
              </w:rPr>
            </w:pPr>
            <w:r>
              <w:rPr>
                <w:sz w:val="20"/>
                <w:szCs w:val="20"/>
              </w:rPr>
              <w:t>Develop a communication plan to articulate IT priorities, projects, and processes more clearly to the campus community</w:t>
            </w:r>
          </w:p>
        </w:tc>
        <w:tc>
          <w:tcPr>
            <w:tcW w:w="6390" w:type="dxa"/>
            <w:vAlign w:val="center"/>
          </w:tcPr>
          <w:p w14:paraId="33755F50" w14:textId="2C03B0AB" w:rsidR="00C56788" w:rsidRDefault="00C56788" w:rsidP="00A15A0A">
            <w:pPr>
              <w:spacing w:after="0"/>
              <w:rPr>
                <w:sz w:val="20"/>
                <w:szCs w:val="20"/>
              </w:rPr>
            </w:pPr>
            <w:r>
              <w:rPr>
                <w:sz w:val="20"/>
                <w:szCs w:val="20"/>
              </w:rPr>
              <w:t xml:space="preserve">ITAG worked on project assessment and prioritization in </w:t>
            </w:r>
            <w:r w:rsidR="00390AEB">
              <w:rPr>
                <w:sz w:val="20"/>
                <w:szCs w:val="20"/>
              </w:rPr>
              <w:t>s</w:t>
            </w:r>
            <w:r>
              <w:rPr>
                <w:sz w:val="20"/>
                <w:szCs w:val="20"/>
              </w:rPr>
              <w:t>pring 2018.</w:t>
            </w:r>
            <w:r w:rsidR="00661CEC">
              <w:rPr>
                <w:sz w:val="20"/>
                <w:szCs w:val="20"/>
              </w:rPr>
              <w:t xml:space="preserve"> </w:t>
            </w:r>
            <w:r>
              <w:rPr>
                <w:color w:val="222222"/>
                <w:sz w:val="20"/>
                <w:szCs w:val="20"/>
                <w:highlight w:val="white"/>
              </w:rPr>
              <w:t>Projects were prioritized based on their urgency, audit-related findings, and impact.</w:t>
            </w:r>
            <w:r w:rsidR="00661CEC">
              <w:rPr>
                <w:sz w:val="20"/>
                <w:szCs w:val="20"/>
              </w:rPr>
              <w:t xml:space="preserve"> </w:t>
            </w:r>
            <w:r>
              <w:rPr>
                <w:sz w:val="20"/>
                <w:szCs w:val="20"/>
              </w:rPr>
              <w:t xml:space="preserve">A list of IT projects </w:t>
            </w:r>
            <w:r w:rsidR="00661CEC">
              <w:rPr>
                <w:sz w:val="20"/>
                <w:szCs w:val="20"/>
              </w:rPr>
              <w:t xml:space="preserve">was </w:t>
            </w:r>
            <w:r>
              <w:rPr>
                <w:sz w:val="20"/>
                <w:szCs w:val="20"/>
              </w:rPr>
              <w:t>published on IT’s website in July 2018</w:t>
            </w:r>
            <w:r w:rsidR="00661CEC">
              <w:rPr>
                <w:sz w:val="20"/>
                <w:szCs w:val="20"/>
              </w:rPr>
              <w:t>, with initial focus</w:t>
            </w:r>
            <w:r>
              <w:rPr>
                <w:sz w:val="20"/>
                <w:szCs w:val="20"/>
              </w:rPr>
              <w:t xml:space="preserve"> on Tier 1 (high priority) projects.</w:t>
            </w:r>
            <w:r w:rsidR="00661CEC">
              <w:rPr>
                <w:sz w:val="20"/>
                <w:szCs w:val="20"/>
              </w:rPr>
              <w:t xml:space="preserve"> </w:t>
            </w:r>
            <w:r>
              <w:rPr>
                <w:sz w:val="20"/>
                <w:szCs w:val="20"/>
              </w:rPr>
              <w:t>In November 2018, a project tracking system was created in Smart</w:t>
            </w:r>
            <w:r w:rsidR="00A15A0A">
              <w:rPr>
                <w:sz w:val="20"/>
                <w:szCs w:val="20"/>
              </w:rPr>
              <w:t>s</w:t>
            </w:r>
            <w:r>
              <w:rPr>
                <w:sz w:val="20"/>
                <w:szCs w:val="20"/>
              </w:rPr>
              <w:t xml:space="preserve">heet, mapping each project </w:t>
            </w:r>
            <w:r w:rsidR="00661CEC">
              <w:rPr>
                <w:sz w:val="20"/>
                <w:szCs w:val="20"/>
              </w:rPr>
              <w:t xml:space="preserve">moving forward </w:t>
            </w:r>
            <w:r>
              <w:rPr>
                <w:sz w:val="20"/>
                <w:szCs w:val="20"/>
              </w:rPr>
              <w:t xml:space="preserve">to a strategic priority on SSU’s </w:t>
            </w:r>
            <w:r w:rsidR="00782178">
              <w:rPr>
                <w:sz w:val="20"/>
                <w:szCs w:val="20"/>
              </w:rPr>
              <w:t xml:space="preserve">strategic plan </w:t>
            </w:r>
            <w:r w:rsidR="00D73797">
              <w:rPr>
                <w:sz w:val="20"/>
                <w:szCs w:val="20"/>
              </w:rPr>
              <w:t>(</w:t>
            </w:r>
            <w:r w:rsidR="002F088A">
              <w:rPr>
                <w:sz w:val="20"/>
                <w:szCs w:val="20"/>
              </w:rPr>
              <w:t xml:space="preserve">see </w:t>
            </w:r>
            <w:r w:rsidR="00782178" w:rsidRPr="00411167">
              <w:rPr>
                <w:sz w:val="20"/>
                <w:szCs w:val="20"/>
              </w:rPr>
              <w:t>a</w:t>
            </w:r>
            <w:r w:rsidR="00DB2390" w:rsidRPr="00411167">
              <w:rPr>
                <w:sz w:val="20"/>
                <w:szCs w:val="20"/>
              </w:rPr>
              <w:t>ppendix</w:t>
            </w:r>
            <w:r w:rsidR="00D73797" w:rsidRPr="00411167">
              <w:rPr>
                <w:sz w:val="20"/>
                <w:szCs w:val="20"/>
              </w:rPr>
              <w:t xml:space="preserve"> 5</w:t>
            </w:r>
            <w:r w:rsidR="00D73797">
              <w:rPr>
                <w:sz w:val="20"/>
                <w:szCs w:val="20"/>
              </w:rPr>
              <w:t xml:space="preserve"> for a link to the IT project list)</w:t>
            </w:r>
            <w:r>
              <w:rPr>
                <w:sz w:val="20"/>
                <w:szCs w:val="20"/>
              </w:rPr>
              <w:t xml:space="preserve">. </w:t>
            </w:r>
          </w:p>
        </w:tc>
      </w:tr>
      <w:tr w:rsidR="00C56788" w14:paraId="1408310F" w14:textId="77777777" w:rsidTr="00587B17">
        <w:tc>
          <w:tcPr>
            <w:tcW w:w="2965" w:type="dxa"/>
            <w:vAlign w:val="center"/>
          </w:tcPr>
          <w:p w14:paraId="120A472E" w14:textId="77777777" w:rsidR="00C56788" w:rsidRDefault="00C56788" w:rsidP="00661CEC">
            <w:pPr>
              <w:rPr>
                <w:sz w:val="20"/>
                <w:szCs w:val="20"/>
              </w:rPr>
            </w:pPr>
            <w:r>
              <w:rPr>
                <w:sz w:val="20"/>
                <w:szCs w:val="20"/>
              </w:rPr>
              <w:t>Create a plan to improve customer service and responsiveness for all IT matters, including academic technology</w:t>
            </w:r>
          </w:p>
        </w:tc>
        <w:tc>
          <w:tcPr>
            <w:tcW w:w="6390" w:type="dxa"/>
            <w:vAlign w:val="center"/>
          </w:tcPr>
          <w:p w14:paraId="2F59686F" w14:textId="39B492C6" w:rsidR="00C56788" w:rsidRDefault="00C56788" w:rsidP="00FE5365">
            <w:pPr>
              <w:spacing w:after="0"/>
              <w:rPr>
                <w:sz w:val="20"/>
                <w:szCs w:val="20"/>
              </w:rPr>
            </w:pPr>
            <w:r>
              <w:rPr>
                <w:sz w:val="20"/>
                <w:szCs w:val="20"/>
              </w:rPr>
              <w:t xml:space="preserve">Clear guidelines and </w:t>
            </w:r>
            <w:r w:rsidR="00782178">
              <w:rPr>
                <w:sz w:val="20"/>
                <w:szCs w:val="20"/>
              </w:rPr>
              <w:t xml:space="preserve">frequently asked questions </w:t>
            </w:r>
            <w:r>
              <w:rPr>
                <w:sz w:val="20"/>
                <w:szCs w:val="20"/>
              </w:rPr>
              <w:t>for project requests are provided online.</w:t>
            </w:r>
            <w:r w:rsidR="00661CEC">
              <w:rPr>
                <w:sz w:val="20"/>
                <w:szCs w:val="20"/>
              </w:rPr>
              <w:t xml:space="preserve"> </w:t>
            </w:r>
            <w:r>
              <w:rPr>
                <w:sz w:val="20"/>
                <w:szCs w:val="20"/>
              </w:rPr>
              <w:t xml:space="preserve">A project request form was created in </w:t>
            </w:r>
            <w:r w:rsidR="00841753">
              <w:rPr>
                <w:sz w:val="20"/>
                <w:szCs w:val="20"/>
              </w:rPr>
              <w:t>fall</w:t>
            </w:r>
            <w:r>
              <w:rPr>
                <w:sz w:val="20"/>
                <w:szCs w:val="20"/>
              </w:rPr>
              <w:t xml:space="preserve"> 2018 to assist users with a clear process for submitting requests.</w:t>
            </w:r>
            <w:r w:rsidR="00661CEC">
              <w:rPr>
                <w:sz w:val="20"/>
                <w:szCs w:val="20"/>
              </w:rPr>
              <w:t xml:space="preserve"> </w:t>
            </w:r>
            <w:r>
              <w:rPr>
                <w:sz w:val="20"/>
                <w:szCs w:val="20"/>
              </w:rPr>
              <w:t xml:space="preserve">The new process was communicated in </w:t>
            </w:r>
            <w:r w:rsidR="00782178">
              <w:rPr>
                <w:sz w:val="20"/>
                <w:szCs w:val="20"/>
              </w:rPr>
              <w:t xml:space="preserve">summer </w:t>
            </w:r>
            <w:r>
              <w:rPr>
                <w:sz w:val="20"/>
                <w:szCs w:val="20"/>
              </w:rPr>
              <w:t>2018 and is clearly described on the project request form.</w:t>
            </w:r>
            <w:r w:rsidR="00661CEC">
              <w:rPr>
                <w:sz w:val="20"/>
                <w:szCs w:val="20"/>
              </w:rPr>
              <w:t xml:space="preserve"> </w:t>
            </w:r>
          </w:p>
        </w:tc>
      </w:tr>
      <w:tr w:rsidR="00C56788" w14:paraId="0D317CB8" w14:textId="77777777" w:rsidTr="00587B17">
        <w:trPr>
          <w:trHeight w:val="863"/>
        </w:trPr>
        <w:tc>
          <w:tcPr>
            <w:tcW w:w="2965" w:type="dxa"/>
            <w:vAlign w:val="center"/>
          </w:tcPr>
          <w:p w14:paraId="194ED1E9" w14:textId="77777777" w:rsidR="00C56788" w:rsidRDefault="00C56788" w:rsidP="00661CEC">
            <w:pPr>
              <w:rPr>
                <w:sz w:val="20"/>
                <w:szCs w:val="20"/>
              </w:rPr>
            </w:pPr>
            <w:r>
              <w:rPr>
                <w:sz w:val="20"/>
                <w:szCs w:val="20"/>
              </w:rPr>
              <w:t>Conduct a search for a permanent CIO</w:t>
            </w:r>
          </w:p>
        </w:tc>
        <w:tc>
          <w:tcPr>
            <w:tcW w:w="6390" w:type="dxa"/>
            <w:vAlign w:val="center"/>
          </w:tcPr>
          <w:p w14:paraId="7FD799BA" w14:textId="48D01299" w:rsidR="00C56788" w:rsidRDefault="00C56788" w:rsidP="00FE5365">
            <w:pPr>
              <w:spacing w:after="0"/>
              <w:rPr>
                <w:sz w:val="20"/>
                <w:szCs w:val="20"/>
              </w:rPr>
            </w:pPr>
            <w:r>
              <w:rPr>
                <w:sz w:val="20"/>
                <w:szCs w:val="20"/>
              </w:rPr>
              <w:t xml:space="preserve">SSU launched a search in </w:t>
            </w:r>
            <w:r w:rsidR="00390AEB">
              <w:rPr>
                <w:sz w:val="20"/>
                <w:szCs w:val="20"/>
              </w:rPr>
              <w:t>s</w:t>
            </w:r>
            <w:r>
              <w:rPr>
                <w:sz w:val="20"/>
                <w:szCs w:val="20"/>
              </w:rPr>
              <w:t>pring 2018, and a permanent CIO was hired in June 2018.</w:t>
            </w:r>
            <w:r w:rsidR="00661CEC">
              <w:rPr>
                <w:sz w:val="20"/>
                <w:szCs w:val="20"/>
              </w:rPr>
              <w:t xml:space="preserve"> Since then, the CIO hired in 2018 retired after two years, and a new CIO was hired beginning July 2020. </w:t>
            </w:r>
          </w:p>
        </w:tc>
      </w:tr>
    </w:tbl>
    <w:p w14:paraId="3E8A53F8" w14:textId="77777777" w:rsidR="00C56788" w:rsidRDefault="00C56788" w:rsidP="00FE5365">
      <w:pPr>
        <w:spacing w:after="0" w:line="240" w:lineRule="auto"/>
      </w:pPr>
    </w:p>
    <w:p w14:paraId="5BC4229D" w14:textId="44B7C265" w:rsidR="00C56788" w:rsidRDefault="00C56788" w:rsidP="00C56788">
      <w:pPr>
        <w:spacing w:after="0" w:line="480" w:lineRule="auto"/>
        <w:ind w:firstLine="720"/>
      </w:pPr>
      <w:r>
        <w:t>IT finalized its new strategic plan in June 2019, aligning its goals and priorities with SSU’s and Academic Affairs’ strategic plans</w:t>
      </w:r>
      <w:r w:rsidR="003B22CB">
        <w:t xml:space="preserve"> (see </w:t>
      </w:r>
      <w:r w:rsidR="003B22CB" w:rsidRPr="00411167">
        <w:t>appendix 5</w:t>
      </w:r>
      <w:r w:rsidR="003B22CB">
        <w:t xml:space="preserve"> for the link to the IT strategic plan)</w:t>
      </w:r>
      <w:r>
        <w:t>.</w:t>
      </w:r>
      <w:r w:rsidR="00661CEC">
        <w:t xml:space="preserve"> </w:t>
      </w:r>
      <w:proofErr w:type="gramStart"/>
      <w:r>
        <w:t>IT’s</w:t>
      </w:r>
      <w:proofErr w:type="gramEnd"/>
      <w:r>
        <w:t xml:space="preserve"> plan included a set of overarching guiding principles or strategies that the IT department should focus on, categorized by strategic priority.</w:t>
      </w:r>
      <w:r w:rsidR="00661CEC">
        <w:t xml:space="preserve"> </w:t>
      </w:r>
      <w:r>
        <w:t>These guiding strategies are presented below:</w:t>
      </w:r>
      <w:r w:rsidR="00925B41">
        <w:t xml:space="preserve"> </w:t>
      </w:r>
    </w:p>
    <w:p w14:paraId="0E70D2DB" w14:textId="77777777" w:rsidR="00C56788" w:rsidRDefault="00C56788" w:rsidP="00C56788">
      <w:pPr>
        <w:spacing w:after="0" w:line="480" w:lineRule="auto"/>
        <w:jc w:val="center"/>
      </w:pPr>
      <w:r w:rsidRPr="0055790B">
        <w:rPr>
          <w:noProof/>
          <w:sz w:val="24"/>
        </w:rPr>
        <w:lastRenderedPageBreak/>
        <w:drawing>
          <wp:inline distT="0" distB="0" distL="0" distR="0" wp14:anchorId="499467BD" wp14:editId="4E2B41D1">
            <wp:extent cx="3644494" cy="2146300"/>
            <wp:effectExtent l="19050" t="19050" r="13335" b="25400"/>
            <wp:docPr id="2" name="Picture 2" descr="A graphic representation of the Information Technology guiding principles categorized by strategic pri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23045"/>
                    <a:stretch/>
                  </pic:blipFill>
                  <pic:spPr bwMode="auto">
                    <a:xfrm>
                      <a:off x="0" y="0"/>
                      <a:ext cx="3651692" cy="2150539"/>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955CBAA" w14:textId="77777777" w:rsidR="00C56788" w:rsidRDefault="00C56788" w:rsidP="00C56788">
      <w:pPr>
        <w:spacing w:after="0" w:line="480" w:lineRule="auto"/>
        <w:ind w:firstLine="720"/>
      </w:pPr>
      <w:r>
        <w:t>IT’s progress across multiple strategic priorities is demonstrated with a few examples provided here, many of which directly or indirectly improve the student experience:</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xample of IT's Strategic Priorities"/>
        <w:tblDescription w:val="A table listing Information Technology's strategic priorities broken up into goals, tactics, and results reported."/>
      </w:tblPr>
      <w:tblGrid>
        <w:gridCol w:w="2335"/>
        <w:gridCol w:w="3240"/>
        <w:gridCol w:w="3775"/>
      </w:tblGrid>
      <w:tr w:rsidR="00C56788" w14:paraId="566422DC" w14:textId="77777777" w:rsidTr="00661CEC">
        <w:trPr>
          <w:trHeight w:val="413"/>
        </w:trPr>
        <w:tc>
          <w:tcPr>
            <w:tcW w:w="9350" w:type="dxa"/>
            <w:gridSpan w:val="3"/>
            <w:shd w:val="clear" w:color="auto" w:fill="B4C6E7"/>
            <w:vAlign w:val="center"/>
          </w:tcPr>
          <w:p w14:paraId="0B7303C4" w14:textId="1103A674" w:rsidR="00C56788" w:rsidRPr="00071912" w:rsidRDefault="00C56788" w:rsidP="00661CEC">
            <w:pPr>
              <w:rPr>
                <w:rStyle w:val="Strong"/>
              </w:rPr>
            </w:pPr>
            <w:r w:rsidRPr="00071912">
              <w:rPr>
                <w:rStyle w:val="Strong"/>
              </w:rPr>
              <w:t>Strategic Priority #1:</w:t>
            </w:r>
            <w:r w:rsidR="00661CEC" w:rsidRPr="00071912">
              <w:rPr>
                <w:rStyle w:val="Strong"/>
              </w:rPr>
              <w:t xml:space="preserve"> </w:t>
            </w:r>
            <w:r w:rsidRPr="00071912">
              <w:rPr>
                <w:rStyle w:val="Strong"/>
              </w:rPr>
              <w:t>Student Success</w:t>
            </w:r>
          </w:p>
        </w:tc>
      </w:tr>
      <w:tr w:rsidR="00C56788" w14:paraId="7672C92C" w14:textId="77777777" w:rsidTr="00661CEC">
        <w:tc>
          <w:tcPr>
            <w:tcW w:w="2335" w:type="dxa"/>
          </w:tcPr>
          <w:p w14:paraId="5A9A35A6" w14:textId="77777777" w:rsidR="00C56788" w:rsidRPr="00071912" w:rsidRDefault="00C56788" w:rsidP="00661CEC">
            <w:pPr>
              <w:rPr>
                <w:rStyle w:val="Strong"/>
              </w:rPr>
            </w:pPr>
            <w:r w:rsidRPr="00071912">
              <w:rPr>
                <w:rStyle w:val="Strong"/>
              </w:rPr>
              <w:t>Goal</w:t>
            </w:r>
          </w:p>
        </w:tc>
        <w:tc>
          <w:tcPr>
            <w:tcW w:w="3240" w:type="dxa"/>
          </w:tcPr>
          <w:p w14:paraId="69091870" w14:textId="77777777" w:rsidR="00C56788" w:rsidRPr="00071912" w:rsidRDefault="00C56788" w:rsidP="00661CEC">
            <w:pPr>
              <w:rPr>
                <w:rStyle w:val="Strong"/>
              </w:rPr>
            </w:pPr>
            <w:r w:rsidRPr="00071912">
              <w:rPr>
                <w:rStyle w:val="Strong"/>
              </w:rPr>
              <w:t>Tactic</w:t>
            </w:r>
          </w:p>
        </w:tc>
        <w:tc>
          <w:tcPr>
            <w:tcW w:w="3775" w:type="dxa"/>
          </w:tcPr>
          <w:p w14:paraId="1CFB798D" w14:textId="77777777" w:rsidR="00C56788" w:rsidRPr="00071912" w:rsidRDefault="00C56788" w:rsidP="00661CEC">
            <w:pPr>
              <w:rPr>
                <w:rStyle w:val="Strong"/>
              </w:rPr>
            </w:pPr>
            <w:r w:rsidRPr="00071912">
              <w:rPr>
                <w:rStyle w:val="Strong"/>
              </w:rPr>
              <w:t xml:space="preserve">Results Reported </w:t>
            </w:r>
          </w:p>
        </w:tc>
      </w:tr>
      <w:tr w:rsidR="00C56788" w14:paraId="1AF28525" w14:textId="77777777" w:rsidTr="00661CEC">
        <w:tc>
          <w:tcPr>
            <w:tcW w:w="2335" w:type="dxa"/>
          </w:tcPr>
          <w:p w14:paraId="2C9C8A9B" w14:textId="77777777" w:rsidR="00C56788" w:rsidRPr="00071912" w:rsidRDefault="00C56788" w:rsidP="00661CEC">
            <w:r w:rsidRPr="00071912">
              <w:t>Meet SSU's GI2025 graduation and retention goals, including elimination of equity gaps</w:t>
            </w:r>
          </w:p>
        </w:tc>
        <w:tc>
          <w:tcPr>
            <w:tcW w:w="3240" w:type="dxa"/>
          </w:tcPr>
          <w:p w14:paraId="0C7E2C43" w14:textId="77777777" w:rsidR="00C56788" w:rsidRPr="00071912" w:rsidRDefault="00C56788" w:rsidP="00661CEC">
            <w:r w:rsidRPr="00071912">
              <w:t>Implement and support effective student success technology support for improved advising, early warning and overall student academic support</w:t>
            </w:r>
          </w:p>
        </w:tc>
        <w:tc>
          <w:tcPr>
            <w:tcW w:w="3775" w:type="dxa"/>
          </w:tcPr>
          <w:p w14:paraId="5F74B28C" w14:textId="316FC7CB" w:rsidR="00C56788" w:rsidRPr="00071912" w:rsidRDefault="00C56788" w:rsidP="00661CEC">
            <w:r w:rsidRPr="00071912">
              <w:rPr>
                <w:color w:val="000000"/>
              </w:rPr>
              <w:t xml:space="preserve">EAB technology (called </w:t>
            </w:r>
            <w:proofErr w:type="spellStart"/>
            <w:r w:rsidRPr="00071912">
              <w:rPr>
                <w:color w:val="000000"/>
              </w:rPr>
              <w:t>LoboConnect</w:t>
            </w:r>
            <w:proofErr w:type="spellEnd"/>
            <w:r w:rsidRPr="00071912">
              <w:rPr>
                <w:color w:val="000000"/>
              </w:rPr>
              <w:t xml:space="preserve">) was procured and implemented. The tool is used to communicate with enrolled students regarding advising and other related activities, as described in the earlier </w:t>
            </w:r>
            <w:r w:rsidR="00F745AB" w:rsidRPr="00071912">
              <w:rPr>
                <w:color w:val="000000"/>
              </w:rPr>
              <w:t xml:space="preserve">response </w:t>
            </w:r>
            <w:r w:rsidRPr="00071912">
              <w:rPr>
                <w:color w:val="000000"/>
              </w:rPr>
              <w:t xml:space="preserve">to </w:t>
            </w:r>
            <w:r w:rsidR="00F745AB" w:rsidRPr="00071912">
              <w:rPr>
                <w:color w:val="000000"/>
              </w:rPr>
              <w:t xml:space="preserve">recommendation </w:t>
            </w:r>
            <w:r w:rsidRPr="00071912">
              <w:rPr>
                <w:color w:val="000000"/>
              </w:rPr>
              <w:t>4.</w:t>
            </w:r>
          </w:p>
        </w:tc>
      </w:tr>
      <w:tr w:rsidR="00C56788" w14:paraId="47EB2EAC" w14:textId="77777777" w:rsidTr="00661CEC">
        <w:tc>
          <w:tcPr>
            <w:tcW w:w="2335" w:type="dxa"/>
          </w:tcPr>
          <w:p w14:paraId="64EA9F93" w14:textId="77777777" w:rsidR="00C56788" w:rsidRPr="00071912" w:rsidRDefault="00C56788" w:rsidP="00661CEC">
            <w:r w:rsidRPr="00071912">
              <w:t>Modernize SSU's teaching and learning spaces and business processes in support of student success.</w:t>
            </w:r>
          </w:p>
        </w:tc>
        <w:tc>
          <w:tcPr>
            <w:tcW w:w="3240" w:type="dxa"/>
          </w:tcPr>
          <w:p w14:paraId="17F8C104" w14:textId="77777777" w:rsidR="00C56788" w:rsidRPr="00071912" w:rsidRDefault="00C56788" w:rsidP="00661CEC">
            <w:r w:rsidRPr="00071912">
              <w:t>Create and maintain 21</w:t>
            </w:r>
            <w:r w:rsidRPr="00071912">
              <w:rPr>
                <w:vertAlign w:val="superscript"/>
              </w:rPr>
              <w:t>st</w:t>
            </w:r>
            <w:r w:rsidRPr="00071912">
              <w:t xml:space="preserve"> century teaching and learning classroom standards to ensure learning spaces aligned with student and curricular needs. This includes updating standards to align them with online education best practices to encourage more online offerings at SSU.</w:t>
            </w:r>
          </w:p>
        </w:tc>
        <w:tc>
          <w:tcPr>
            <w:tcW w:w="3775" w:type="dxa"/>
          </w:tcPr>
          <w:p w14:paraId="63301D91" w14:textId="1DC83046" w:rsidR="00C56788" w:rsidRPr="00071912" w:rsidRDefault="00C56788" w:rsidP="00661CEC">
            <w:pPr>
              <w:rPr>
                <w:color w:val="000000"/>
              </w:rPr>
            </w:pPr>
            <w:r w:rsidRPr="00071912">
              <w:rPr>
                <w:color w:val="000000"/>
              </w:rPr>
              <w:t>CTET and IT departments worked with</w:t>
            </w:r>
            <w:r w:rsidR="00661CEC" w:rsidRPr="00071912">
              <w:rPr>
                <w:color w:val="000000"/>
              </w:rPr>
              <w:t xml:space="preserve"> </w:t>
            </w:r>
            <w:r w:rsidR="00F745AB" w:rsidRPr="00071912">
              <w:rPr>
                <w:color w:val="000000"/>
              </w:rPr>
              <w:t xml:space="preserve">academic affairs </w:t>
            </w:r>
            <w:r w:rsidRPr="00071912">
              <w:rPr>
                <w:color w:val="000000"/>
              </w:rPr>
              <w:t>and the Academic Technology and Instructional Spaces Subcommittee (ATISS) to establish SSU standards for mediated classrooms.</w:t>
            </w:r>
            <w:r w:rsidR="00661CEC" w:rsidRPr="00071912">
              <w:rPr>
                <w:color w:val="000000"/>
              </w:rPr>
              <w:t xml:space="preserve"> </w:t>
            </w:r>
            <w:r w:rsidRPr="00071912">
              <w:rPr>
                <w:color w:val="000000"/>
              </w:rPr>
              <w:t xml:space="preserve">Through this, a $3 </w:t>
            </w:r>
            <w:r w:rsidR="00661CEC" w:rsidRPr="00071912">
              <w:rPr>
                <w:color w:val="000000"/>
              </w:rPr>
              <w:t>m</w:t>
            </w:r>
            <w:r w:rsidRPr="00071912">
              <w:rPr>
                <w:color w:val="000000"/>
              </w:rPr>
              <w:t xml:space="preserve">illion investment was made to modernize classroom technology. Installation began in summer 2019, </w:t>
            </w:r>
            <w:r w:rsidRPr="00071912">
              <w:t>and the technology upgrades have been completed in 44 classrooms (out of 68) so far, with the remaining 24 classrooms scheduled for upgrades during 2020-21.</w:t>
            </w:r>
          </w:p>
        </w:tc>
      </w:tr>
      <w:tr w:rsidR="00C56788" w14:paraId="20B1E67B" w14:textId="77777777" w:rsidTr="00661CEC">
        <w:trPr>
          <w:trHeight w:val="440"/>
        </w:trPr>
        <w:tc>
          <w:tcPr>
            <w:tcW w:w="9350" w:type="dxa"/>
            <w:gridSpan w:val="3"/>
            <w:shd w:val="clear" w:color="auto" w:fill="B4C6E7"/>
            <w:vAlign w:val="center"/>
          </w:tcPr>
          <w:p w14:paraId="246A6503" w14:textId="4A8A76B1" w:rsidR="00C56788" w:rsidRPr="00071912" w:rsidRDefault="00C56788" w:rsidP="00661CEC">
            <w:pPr>
              <w:rPr>
                <w:rStyle w:val="Strong"/>
              </w:rPr>
            </w:pPr>
            <w:r w:rsidRPr="00071912">
              <w:rPr>
                <w:rStyle w:val="Strong"/>
              </w:rPr>
              <w:t>Strategic Priority #2:</w:t>
            </w:r>
            <w:r w:rsidR="00661CEC" w:rsidRPr="00071912">
              <w:rPr>
                <w:rStyle w:val="Strong"/>
              </w:rPr>
              <w:t xml:space="preserve"> </w:t>
            </w:r>
            <w:r w:rsidRPr="00071912">
              <w:rPr>
                <w:rStyle w:val="Strong"/>
              </w:rPr>
              <w:t>Academic Excellence and Innovation</w:t>
            </w:r>
          </w:p>
        </w:tc>
      </w:tr>
      <w:tr w:rsidR="00C56788" w14:paraId="58E80D81" w14:textId="77777777" w:rsidTr="00661CEC">
        <w:tc>
          <w:tcPr>
            <w:tcW w:w="2335" w:type="dxa"/>
          </w:tcPr>
          <w:p w14:paraId="63E3AD9C" w14:textId="77777777" w:rsidR="00C56788" w:rsidRPr="00071912" w:rsidRDefault="00C56788" w:rsidP="00661CEC">
            <w:pPr>
              <w:rPr>
                <w:rStyle w:val="Strong"/>
              </w:rPr>
            </w:pPr>
            <w:r w:rsidRPr="00071912">
              <w:rPr>
                <w:rStyle w:val="Strong"/>
              </w:rPr>
              <w:t>Goal</w:t>
            </w:r>
          </w:p>
        </w:tc>
        <w:tc>
          <w:tcPr>
            <w:tcW w:w="3240" w:type="dxa"/>
          </w:tcPr>
          <w:p w14:paraId="30882AF7" w14:textId="77777777" w:rsidR="00C56788" w:rsidRPr="00071912" w:rsidRDefault="00C56788" w:rsidP="00661CEC">
            <w:pPr>
              <w:rPr>
                <w:rStyle w:val="Strong"/>
              </w:rPr>
            </w:pPr>
            <w:r w:rsidRPr="00071912">
              <w:rPr>
                <w:rStyle w:val="Strong"/>
              </w:rPr>
              <w:t>Tactic</w:t>
            </w:r>
          </w:p>
        </w:tc>
        <w:tc>
          <w:tcPr>
            <w:tcW w:w="3775" w:type="dxa"/>
          </w:tcPr>
          <w:p w14:paraId="72E511C8" w14:textId="77777777" w:rsidR="00C56788" w:rsidRPr="00071912" w:rsidRDefault="00C56788" w:rsidP="00661CEC">
            <w:pPr>
              <w:rPr>
                <w:rStyle w:val="Strong"/>
              </w:rPr>
            </w:pPr>
            <w:r w:rsidRPr="00071912">
              <w:rPr>
                <w:rStyle w:val="Strong"/>
              </w:rPr>
              <w:t xml:space="preserve">Results Reported </w:t>
            </w:r>
          </w:p>
        </w:tc>
      </w:tr>
      <w:tr w:rsidR="00C56788" w14:paraId="630B4FD2" w14:textId="77777777" w:rsidTr="00661CEC">
        <w:tc>
          <w:tcPr>
            <w:tcW w:w="2335" w:type="dxa"/>
          </w:tcPr>
          <w:p w14:paraId="13D303E3" w14:textId="77A24D8A" w:rsidR="00C56788" w:rsidRPr="00071912" w:rsidRDefault="00C56788" w:rsidP="00661CEC">
            <w:r w:rsidRPr="00071912">
              <w:lastRenderedPageBreak/>
              <w:t>Amplify and support the expression of SSU's core values and strategic priorities in our</w:t>
            </w:r>
            <w:r w:rsidR="00661CEC" w:rsidRPr="00071912">
              <w:t xml:space="preserve"> </w:t>
            </w:r>
            <w:r w:rsidRPr="00071912">
              <w:t>curricula</w:t>
            </w:r>
            <w:r w:rsidR="00661CEC" w:rsidRPr="00071912">
              <w:t>.</w:t>
            </w:r>
          </w:p>
        </w:tc>
        <w:tc>
          <w:tcPr>
            <w:tcW w:w="3240" w:type="dxa"/>
          </w:tcPr>
          <w:p w14:paraId="2148DAC8" w14:textId="688551DB" w:rsidR="00C56788" w:rsidRPr="00071912" w:rsidRDefault="00C56788" w:rsidP="00661CEC">
            <w:r w:rsidRPr="00071912">
              <w:t>Simplify the curriculum approval process to enable easier experimentation with possible innovations in programs and courses</w:t>
            </w:r>
            <w:r w:rsidR="00511C91" w:rsidRPr="00071912">
              <w:t>.</w:t>
            </w:r>
          </w:p>
        </w:tc>
        <w:tc>
          <w:tcPr>
            <w:tcW w:w="3775" w:type="dxa"/>
          </w:tcPr>
          <w:p w14:paraId="02FDF0CB" w14:textId="38DA246E" w:rsidR="00C56788" w:rsidRPr="00071912" w:rsidRDefault="00C56788" w:rsidP="00661CEC">
            <w:proofErr w:type="spellStart"/>
            <w:r w:rsidRPr="00071912">
              <w:t>Curriculog</w:t>
            </w:r>
            <w:proofErr w:type="spellEnd"/>
            <w:r w:rsidRPr="00071912">
              <w:t xml:space="preserve"> is a new digital workflow solution that simplifies the </w:t>
            </w:r>
            <w:r w:rsidR="00511C91" w:rsidRPr="00071912">
              <w:t xml:space="preserve">catalog and </w:t>
            </w:r>
            <w:r w:rsidRPr="00071912">
              <w:t>curriculum approval process.</w:t>
            </w:r>
            <w:r w:rsidR="00661CEC" w:rsidRPr="00071912">
              <w:t xml:space="preserve"> </w:t>
            </w:r>
            <w:r w:rsidRPr="00071912">
              <w:t>IT provided the course data from PeopleSoft and created single sign-on (SSO) integration.</w:t>
            </w:r>
          </w:p>
        </w:tc>
      </w:tr>
      <w:tr w:rsidR="00C56788" w14:paraId="66766E46" w14:textId="77777777" w:rsidTr="00661CEC">
        <w:tc>
          <w:tcPr>
            <w:tcW w:w="2335" w:type="dxa"/>
          </w:tcPr>
          <w:p w14:paraId="1DED3BC2" w14:textId="1B6F27EA" w:rsidR="00C56788" w:rsidRPr="00071912" w:rsidRDefault="00C56788" w:rsidP="00661CEC">
            <w:r w:rsidRPr="00071912">
              <w:t>Migrate critical IT services to the cloud for redundancy, high availability, backup,</w:t>
            </w:r>
            <w:r w:rsidR="00511C91" w:rsidRPr="00071912">
              <w:t xml:space="preserve"> </w:t>
            </w:r>
            <w:r w:rsidRPr="00071912">
              <w:t>scalability, and increased security</w:t>
            </w:r>
            <w:r w:rsidR="00511C91" w:rsidRPr="00071912">
              <w:t>.</w:t>
            </w:r>
          </w:p>
        </w:tc>
        <w:tc>
          <w:tcPr>
            <w:tcW w:w="3240" w:type="dxa"/>
          </w:tcPr>
          <w:p w14:paraId="311A49A2" w14:textId="5DA22B6E" w:rsidR="00C56788" w:rsidRPr="00071912" w:rsidRDefault="00C56788" w:rsidP="00661CEC">
            <w:r w:rsidRPr="00071912">
              <w:t>Procure an Amazon Web Services (AWS) space to migrate our virtual servers to the cloud. Prioritize our services according to highest security requirements, such as PCI, HIPPA, and FERPA</w:t>
            </w:r>
            <w:r w:rsidR="00511C91" w:rsidRPr="00071912">
              <w:t>.</w:t>
            </w:r>
          </w:p>
        </w:tc>
        <w:tc>
          <w:tcPr>
            <w:tcW w:w="3775" w:type="dxa"/>
          </w:tcPr>
          <w:p w14:paraId="5887A29E" w14:textId="42300BB1" w:rsidR="00C56788" w:rsidRPr="00071912" w:rsidRDefault="00C56788" w:rsidP="00661CEC">
            <w:r w:rsidRPr="00071912">
              <w:t>So far, IT has approximately 30 hosted environments (s</w:t>
            </w:r>
            <w:r w:rsidR="00A15A0A" w:rsidRPr="00071912">
              <w:t xml:space="preserve">uch as Tableau, </w:t>
            </w:r>
            <w:proofErr w:type="spellStart"/>
            <w:r w:rsidR="00A15A0A" w:rsidRPr="00071912">
              <w:t>LoboConnect</w:t>
            </w:r>
            <w:proofErr w:type="spellEnd"/>
            <w:r w:rsidR="00A15A0A" w:rsidRPr="00071912">
              <w:t xml:space="preserve">, </w:t>
            </w:r>
            <w:proofErr w:type="spellStart"/>
            <w:r w:rsidR="00A15A0A" w:rsidRPr="00071912">
              <w:t>YuJ</w:t>
            </w:r>
            <w:r w:rsidRPr="00071912">
              <w:t>a</w:t>
            </w:r>
            <w:proofErr w:type="spellEnd"/>
            <w:r w:rsidRPr="00071912">
              <w:t xml:space="preserve">, and </w:t>
            </w:r>
            <w:proofErr w:type="spellStart"/>
            <w:r w:rsidRPr="00071912">
              <w:t>CSULearn</w:t>
            </w:r>
            <w:proofErr w:type="spellEnd"/>
            <w:r w:rsidRPr="00071912">
              <w:t>), with more anticipated in the coming year.</w:t>
            </w:r>
          </w:p>
        </w:tc>
      </w:tr>
      <w:tr w:rsidR="00C56788" w14:paraId="5FEFE7BE" w14:textId="77777777" w:rsidTr="00661CEC">
        <w:trPr>
          <w:trHeight w:val="431"/>
        </w:trPr>
        <w:tc>
          <w:tcPr>
            <w:tcW w:w="9350" w:type="dxa"/>
            <w:gridSpan w:val="3"/>
            <w:shd w:val="clear" w:color="auto" w:fill="B4C6E7"/>
            <w:vAlign w:val="center"/>
          </w:tcPr>
          <w:p w14:paraId="68715C54" w14:textId="5B683734" w:rsidR="00C56788" w:rsidRPr="00071912" w:rsidRDefault="00C56788" w:rsidP="00661CEC">
            <w:pPr>
              <w:rPr>
                <w:rStyle w:val="Strong"/>
              </w:rPr>
            </w:pPr>
            <w:r w:rsidRPr="00071912">
              <w:rPr>
                <w:rStyle w:val="Strong"/>
              </w:rPr>
              <w:t>Strategic Priority #3:</w:t>
            </w:r>
            <w:r w:rsidR="00661CEC" w:rsidRPr="00071912">
              <w:rPr>
                <w:rStyle w:val="Strong"/>
              </w:rPr>
              <w:t xml:space="preserve"> </w:t>
            </w:r>
            <w:r w:rsidRPr="00071912">
              <w:rPr>
                <w:rStyle w:val="Strong"/>
              </w:rPr>
              <w:t>Leadership Cultivation</w:t>
            </w:r>
          </w:p>
        </w:tc>
      </w:tr>
      <w:tr w:rsidR="00C56788" w14:paraId="252FB215" w14:textId="77777777" w:rsidTr="00661CEC">
        <w:tc>
          <w:tcPr>
            <w:tcW w:w="2335" w:type="dxa"/>
          </w:tcPr>
          <w:p w14:paraId="119A4D13" w14:textId="77777777" w:rsidR="00C56788" w:rsidRPr="00071912" w:rsidRDefault="00C56788" w:rsidP="00661CEC">
            <w:pPr>
              <w:rPr>
                <w:rStyle w:val="Strong"/>
              </w:rPr>
            </w:pPr>
            <w:r w:rsidRPr="00071912">
              <w:rPr>
                <w:rStyle w:val="Strong"/>
              </w:rPr>
              <w:t>Goal</w:t>
            </w:r>
          </w:p>
        </w:tc>
        <w:tc>
          <w:tcPr>
            <w:tcW w:w="3240" w:type="dxa"/>
          </w:tcPr>
          <w:p w14:paraId="678B9EB4" w14:textId="77777777" w:rsidR="00C56788" w:rsidRPr="00071912" w:rsidRDefault="00C56788" w:rsidP="00661CEC">
            <w:pPr>
              <w:rPr>
                <w:rStyle w:val="Strong"/>
              </w:rPr>
            </w:pPr>
            <w:r w:rsidRPr="00071912">
              <w:rPr>
                <w:rStyle w:val="Strong"/>
              </w:rPr>
              <w:t>Tactic</w:t>
            </w:r>
          </w:p>
        </w:tc>
        <w:tc>
          <w:tcPr>
            <w:tcW w:w="3775" w:type="dxa"/>
          </w:tcPr>
          <w:p w14:paraId="72544032" w14:textId="77777777" w:rsidR="00C56788" w:rsidRPr="00071912" w:rsidRDefault="00C56788" w:rsidP="00661CEC">
            <w:pPr>
              <w:rPr>
                <w:rStyle w:val="Strong"/>
              </w:rPr>
            </w:pPr>
            <w:r w:rsidRPr="00071912">
              <w:rPr>
                <w:rStyle w:val="Strong"/>
              </w:rPr>
              <w:t xml:space="preserve">Results Reported </w:t>
            </w:r>
          </w:p>
        </w:tc>
      </w:tr>
      <w:tr w:rsidR="00C56788" w14:paraId="40E8E321" w14:textId="77777777" w:rsidTr="00661CEC">
        <w:tc>
          <w:tcPr>
            <w:tcW w:w="2335" w:type="dxa"/>
          </w:tcPr>
          <w:p w14:paraId="31CF831B" w14:textId="3168F1E1" w:rsidR="00C56788" w:rsidRPr="00071912" w:rsidRDefault="00C56788" w:rsidP="00661CEC">
            <w:r w:rsidRPr="00071912">
              <w:t>Support SSU faculty and staff in their professional development and research, scholarship, and creative activities (RSCA), so they can be leaders in the community and their disciplines</w:t>
            </w:r>
            <w:r w:rsidR="00511C91" w:rsidRPr="00071912">
              <w:t>.</w:t>
            </w:r>
          </w:p>
        </w:tc>
        <w:tc>
          <w:tcPr>
            <w:tcW w:w="3240" w:type="dxa"/>
          </w:tcPr>
          <w:p w14:paraId="00E5747C" w14:textId="22141331" w:rsidR="00C56788" w:rsidRPr="00071912" w:rsidRDefault="00C56788" w:rsidP="00661CEC">
            <w:r w:rsidRPr="00071912">
              <w:t>Develop and implement sustainable professional development and RSCA support plans</w:t>
            </w:r>
            <w:r w:rsidR="00511C91" w:rsidRPr="00071912">
              <w:t>.</w:t>
            </w:r>
          </w:p>
        </w:tc>
        <w:tc>
          <w:tcPr>
            <w:tcW w:w="3775" w:type="dxa"/>
          </w:tcPr>
          <w:p w14:paraId="7DB26C12" w14:textId="4D8C12D4" w:rsidR="00C56788" w:rsidRPr="00071912" w:rsidRDefault="00C56788" w:rsidP="00661CEC">
            <w:proofErr w:type="spellStart"/>
            <w:r w:rsidRPr="00071912">
              <w:t>CSULearn</w:t>
            </w:r>
            <w:proofErr w:type="spellEnd"/>
            <w:r w:rsidRPr="00071912">
              <w:t xml:space="preserve"> is a new CSU-wide technology that was implemented with single sign-on (SSO).</w:t>
            </w:r>
            <w:r w:rsidR="00661CEC" w:rsidRPr="00071912">
              <w:t xml:space="preserve"> </w:t>
            </w:r>
            <w:r w:rsidRPr="00071912">
              <w:t>It provides professional development opportunities to all faculty and staff.</w:t>
            </w:r>
            <w:r w:rsidR="00661CEC" w:rsidRPr="00071912">
              <w:t xml:space="preserve"> </w:t>
            </w:r>
            <w:proofErr w:type="spellStart"/>
            <w:r w:rsidRPr="00071912">
              <w:t>SkillPort</w:t>
            </w:r>
            <w:proofErr w:type="spellEnd"/>
            <w:r w:rsidRPr="00071912">
              <w:t xml:space="preserve"> was retired and the content was migrated successfully to the new platform.</w:t>
            </w:r>
          </w:p>
        </w:tc>
      </w:tr>
      <w:tr w:rsidR="00C56788" w14:paraId="57D4D515" w14:textId="77777777" w:rsidTr="00661CEC">
        <w:trPr>
          <w:trHeight w:val="431"/>
        </w:trPr>
        <w:tc>
          <w:tcPr>
            <w:tcW w:w="9350" w:type="dxa"/>
            <w:gridSpan w:val="3"/>
            <w:shd w:val="clear" w:color="auto" w:fill="B4C6E7"/>
            <w:vAlign w:val="center"/>
          </w:tcPr>
          <w:p w14:paraId="415E4048" w14:textId="311F5290" w:rsidR="00C56788" w:rsidRPr="00071912" w:rsidRDefault="00C56788" w:rsidP="00661CEC">
            <w:pPr>
              <w:rPr>
                <w:b/>
              </w:rPr>
            </w:pPr>
            <w:r w:rsidRPr="00071912">
              <w:rPr>
                <w:b/>
              </w:rPr>
              <w:t>Strategic Priority #4:</w:t>
            </w:r>
            <w:r w:rsidR="00661CEC" w:rsidRPr="00071912">
              <w:rPr>
                <w:b/>
              </w:rPr>
              <w:t xml:space="preserve"> </w:t>
            </w:r>
            <w:r w:rsidRPr="00071912">
              <w:rPr>
                <w:b/>
              </w:rPr>
              <w:t>Transformative Impact</w:t>
            </w:r>
          </w:p>
        </w:tc>
      </w:tr>
      <w:tr w:rsidR="00C56788" w14:paraId="3D36A074" w14:textId="77777777" w:rsidTr="00661CEC">
        <w:tc>
          <w:tcPr>
            <w:tcW w:w="2335" w:type="dxa"/>
          </w:tcPr>
          <w:p w14:paraId="1AFF790C" w14:textId="77777777" w:rsidR="00C56788" w:rsidRPr="00071912" w:rsidRDefault="00C56788" w:rsidP="00661CEC">
            <w:pPr>
              <w:rPr>
                <w:b/>
              </w:rPr>
            </w:pPr>
            <w:r w:rsidRPr="00071912">
              <w:rPr>
                <w:b/>
              </w:rPr>
              <w:t>Goal</w:t>
            </w:r>
          </w:p>
        </w:tc>
        <w:tc>
          <w:tcPr>
            <w:tcW w:w="3240" w:type="dxa"/>
          </w:tcPr>
          <w:p w14:paraId="55D382D8" w14:textId="77777777" w:rsidR="00C56788" w:rsidRPr="00071912" w:rsidRDefault="00C56788" w:rsidP="00661CEC">
            <w:pPr>
              <w:rPr>
                <w:b/>
              </w:rPr>
            </w:pPr>
            <w:r w:rsidRPr="00071912">
              <w:rPr>
                <w:b/>
              </w:rPr>
              <w:t>Tactic</w:t>
            </w:r>
          </w:p>
        </w:tc>
        <w:tc>
          <w:tcPr>
            <w:tcW w:w="3775" w:type="dxa"/>
          </w:tcPr>
          <w:p w14:paraId="2E4F8F3B" w14:textId="77777777" w:rsidR="00C56788" w:rsidRPr="00071912" w:rsidRDefault="00C56788" w:rsidP="00661CEC">
            <w:pPr>
              <w:rPr>
                <w:b/>
              </w:rPr>
            </w:pPr>
            <w:r w:rsidRPr="00071912">
              <w:rPr>
                <w:b/>
              </w:rPr>
              <w:t xml:space="preserve">Results Reported </w:t>
            </w:r>
          </w:p>
        </w:tc>
      </w:tr>
      <w:tr w:rsidR="00C56788" w14:paraId="2E425CAE" w14:textId="77777777" w:rsidTr="00661CEC">
        <w:tc>
          <w:tcPr>
            <w:tcW w:w="2335" w:type="dxa"/>
          </w:tcPr>
          <w:p w14:paraId="33361D69" w14:textId="67D3BB2A" w:rsidR="00C56788" w:rsidRPr="00071912" w:rsidRDefault="00C56788" w:rsidP="00661CEC">
            <w:r w:rsidRPr="00071912">
              <w:t>Deploy SSU talent (faculty, staff, and students) for high-impact and/or community-based</w:t>
            </w:r>
            <w:r w:rsidR="00511C91" w:rsidRPr="00071912">
              <w:t xml:space="preserve"> </w:t>
            </w:r>
            <w:r w:rsidRPr="00071912">
              <w:t>service, research, and engagement</w:t>
            </w:r>
          </w:p>
        </w:tc>
        <w:tc>
          <w:tcPr>
            <w:tcW w:w="3240" w:type="dxa"/>
          </w:tcPr>
          <w:p w14:paraId="0756F15E" w14:textId="07251E88" w:rsidR="00C56788" w:rsidRPr="00071912" w:rsidRDefault="00C56788" w:rsidP="00661CEC">
            <w:r w:rsidRPr="00071912">
              <w:t>Promote high-impact and/or</w:t>
            </w:r>
            <w:r w:rsidR="00511C91" w:rsidRPr="00071912">
              <w:t xml:space="preserve"> </w:t>
            </w:r>
            <w:r w:rsidRPr="00071912">
              <w:t>community-based research, service,</w:t>
            </w:r>
            <w:r w:rsidR="00511C91" w:rsidRPr="00071912">
              <w:t xml:space="preserve"> </w:t>
            </w:r>
            <w:r w:rsidRPr="00071912">
              <w:t>and community engagement related to local issues and the local economy (such as water quality, wine research, fire ecology, resilience, etc.)</w:t>
            </w:r>
          </w:p>
        </w:tc>
        <w:tc>
          <w:tcPr>
            <w:tcW w:w="3775" w:type="dxa"/>
          </w:tcPr>
          <w:p w14:paraId="2D764BB0" w14:textId="29010BB0" w:rsidR="00C56788" w:rsidRPr="00071912" w:rsidRDefault="00C56788" w:rsidP="00661CEC">
            <w:r w:rsidRPr="00071912">
              <w:t>SSU entered into a partnership to provide Internet connectivity to the North Bay for fire prevention and early detection.</w:t>
            </w:r>
            <w:r w:rsidR="00661CEC" w:rsidRPr="00071912">
              <w:t xml:space="preserve"> </w:t>
            </w:r>
            <w:r w:rsidRPr="00071912">
              <w:t xml:space="preserve">A microwave dish was installed and connected to the </w:t>
            </w:r>
            <w:proofErr w:type="spellStart"/>
            <w:r w:rsidRPr="00071912">
              <w:t>Cenic</w:t>
            </w:r>
            <w:proofErr w:type="spellEnd"/>
            <w:r w:rsidRPr="00071912">
              <w:t xml:space="preserve"> backbone to provide and project the Internet to SSU’s preserve. This service will be sent to additional microwave stations to provide cameras and information to fire officials.</w:t>
            </w:r>
          </w:p>
        </w:tc>
      </w:tr>
    </w:tbl>
    <w:p w14:paraId="31842F1F" w14:textId="77B3B6E5" w:rsidR="00C56788" w:rsidRDefault="00C56788" w:rsidP="00CC225E">
      <w:pPr>
        <w:spacing w:before="360" w:after="0" w:line="480" w:lineRule="auto"/>
      </w:pPr>
      <w:r>
        <w:lastRenderedPageBreak/>
        <w:tab/>
        <w:t>The IT department has also achieved many other goals from its strategic plan, in service to the university’s strategic priorities, mission, and vision, as well as the student experience</w:t>
      </w:r>
      <w:r w:rsidR="003B22CB">
        <w:t xml:space="preserve"> (see </w:t>
      </w:r>
      <w:r w:rsidR="003B22CB" w:rsidRPr="00411167">
        <w:t>appendix 5</w:t>
      </w:r>
      <w:r w:rsidR="003B22CB">
        <w:t xml:space="preserve"> for a list of IT projects completed and in progress)</w:t>
      </w:r>
      <w:r>
        <w:t>.</w:t>
      </w:r>
      <w:r w:rsidR="00661CEC">
        <w:t xml:space="preserve"> </w:t>
      </w:r>
      <w:r>
        <w:t xml:space="preserve">These are being captured on the Smartsheet tool that was referenced in the </w:t>
      </w:r>
      <w:r w:rsidR="003B22CB">
        <w:t>r</w:t>
      </w:r>
      <w:r w:rsidR="008552DC">
        <w:t xml:space="preserve">esponse </w:t>
      </w:r>
      <w:r>
        <w:t xml:space="preserve">to </w:t>
      </w:r>
      <w:r w:rsidR="003B22CB">
        <w:t>r</w:t>
      </w:r>
      <w:r>
        <w:t>ecommendation 3.</w:t>
      </w:r>
      <w:r w:rsidR="00661CEC">
        <w:t xml:space="preserve"> </w:t>
      </w:r>
      <w:r>
        <w:t>Key points of progress include:</w:t>
      </w:r>
    </w:p>
    <w:p w14:paraId="37109373" w14:textId="504C9DC1" w:rsidR="00C56788" w:rsidRDefault="00C56788" w:rsidP="00DA5365">
      <w:pPr>
        <w:numPr>
          <w:ilvl w:val="0"/>
          <w:numId w:val="16"/>
        </w:numPr>
        <w:pBdr>
          <w:top w:val="nil"/>
          <w:left w:val="nil"/>
          <w:bottom w:val="nil"/>
          <w:right w:val="nil"/>
          <w:between w:val="nil"/>
        </w:pBdr>
        <w:spacing w:after="0" w:line="240" w:lineRule="auto"/>
      </w:pPr>
      <w:r>
        <w:rPr>
          <w:color w:val="000000"/>
        </w:rPr>
        <w:t xml:space="preserve">Completed </w:t>
      </w:r>
      <w:r w:rsidR="002F088A">
        <w:rPr>
          <w:color w:val="000000"/>
        </w:rPr>
        <w:t xml:space="preserve">general data protection regulation </w:t>
      </w:r>
      <w:r>
        <w:rPr>
          <w:color w:val="000000"/>
        </w:rPr>
        <w:t>(GDPR) requirements successfully</w:t>
      </w:r>
      <w:r w:rsidR="00661CEC">
        <w:rPr>
          <w:color w:val="000000"/>
        </w:rPr>
        <w:t xml:space="preserve"> </w:t>
      </w:r>
    </w:p>
    <w:p w14:paraId="11F57ECB" w14:textId="716664E6" w:rsidR="00C56788" w:rsidRDefault="00C56788" w:rsidP="00DA5365">
      <w:pPr>
        <w:numPr>
          <w:ilvl w:val="0"/>
          <w:numId w:val="16"/>
        </w:numPr>
        <w:spacing w:after="0" w:line="240" w:lineRule="auto"/>
      </w:pPr>
      <w:r>
        <w:t xml:space="preserve">Implemented an anti-phishing campaign using PhishMe to raise awareness of phishing attempts (at least one campaign per semester starting in </w:t>
      </w:r>
      <w:r w:rsidR="00390AEB">
        <w:t>s</w:t>
      </w:r>
      <w:r>
        <w:t>pring 2019)</w:t>
      </w:r>
    </w:p>
    <w:p w14:paraId="120DE753" w14:textId="5241A77F" w:rsidR="00C56788" w:rsidRDefault="00C56788" w:rsidP="00DA5365">
      <w:pPr>
        <w:numPr>
          <w:ilvl w:val="0"/>
          <w:numId w:val="16"/>
        </w:numPr>
        <w:spacing w:after="0" w:line="240" w:lineRule="auto"/>
      </w:pPr>
      <w:r>
        <w:t xml:space="preserve">Completed </w:t>
      </w:r>
      <w:r w:rsidR="00F745AB">
        <w:t>l</w:t>
      </w:r>
      <w:r>
        <w:t xml:space="preserve">evel 1 </w:t>
      </w:r>
      <w:r w:rsidR="00F745AB">
        <w:t>d</w:t>
      </w:r>
      <w:r>
        <w:t xml:space="preserve">ata </w:t>
      </w:r>
      <w:r w:rsidR="00F745AB">
        <w:t>i</w:t>
      </w:r>
      <w:r>
        <w:t xml:space="preserve">nventory in </w:t>
      </w:r>
      <w:r w:rsidR="00841753">
        <w:t>fall</w:t>
      </w:r>
      <w:r>
        <w:t xml:space="preserve"> 2019 and follow-up clean-up is in progress</w:t>
      </w:r>
    </w:p>
    <w:p w14:paraId="3A7009C2" w14:textId="77777777" w:rsidR="00C56788" w:rsidRDefault="00C56788" w:rsidP="00DA5365">
      <w:pPr>
        <w:numPr>
          <w:ilvl w:val="0"/>
          <w:numId w:val="16"/>
        </w:numPr>
        <w:pBdr>
          <w:top w:val="nil"/>
          <w:left w:val="nil"/>
          <w:bottom w:val="nil"/>
          <w:right w:val="nil"/>
          <w:between w:val="nil"/>
        </w:pBdr>
        <w:spacing w:after="0" w:line="240" w:lineRule="auto"/>
      </w:pPr>
      <w:r>
        <w:rPr>
          <w:color w:val="000000"/>
        </w:rPr>
        <w:t>Completed risk management standard, in compliance with CSU mandate</w:t>
      </w:r>
    </w:p>
    <w:p w14:paraId="77333090" w14:textId="2AA433C6" w:rsidR="00C56788" w:rsidRDefault="00C56788" w:rsidP="00DA5365">
      <w:pPr>
        <w:numPr>
          <w:ilvl w:val="0"/>
          <w:numId w:val="16"/>
        </w:numPr>
        <w:pBdr>
          <w:top w:val="nil"/>
          <w:left w:val="nil"/>
          <w:bottom w:val="nil"/>
          <w:right w:val="nil"/>
          <w:between w:val="nil"/>
        </w:pBdr>
        <w:spacing w:after="0" w:line="240" w:lineRule="auto"/>
      </w:pPr>
      <w:r>
        <w:rPr>
          <w:color w:val="000000"/>
        </w:rPr>
        <w:t xml:space="preserve">Completed SSU’s </w:t>
      </w:r>
      <w:r w:rsidR="00F745AB">
        <w:rPr>
          <w:color w:val="000000"/>
        </w:rPr>
        <w:t>i</w:t>
      </w:r>
      <w:r>
        <w:rPr>
          <w:color w:val="000000"/>
        </w:rPr>
        <w:t xml:space="preserve">nformation </w:t>
      </w:r>
      <w:r w:rsidR="00F745AB">
        <w:rPr>
          <w:color w:val="000000"/>
        </w:rPr>
        <w:t>s</w:t>
      </w:r>
      <w:r>
        <w:rPr>
          <w:color w:val="000000"/>
        </w:rPr>
        <w:t xml:space="preserve">ecurity </w:t>
      </w:r>
      <w:r w:rsidR="00F745AB">
        <w:rPr>
          <w:color w:val="000000"/>
        </w:rPr>
        <w:t>r</w:t>
      </w:r>
      <w:r>
        <w:rPr>
          <w:color w:val="000000"/>
        </w:rPr>
        <w:t xml:space="preserve">isk </w:t>
      </w:r>
      <w:r w:rsidR="00F745AB">
        <w:rPr>
          <w:color w:val="000000"/>
        </w:rPr>
        <w:t>a</w:t>
      </w:r>
      <w:r>
        <w:rPr>
          <w:color w:val="000000"/>
        </w:rPr>
        <w:t xml:space="preserve">ssessments annually since the last </w:t>
      </w:r>
      <w:r w:rsidR="00F61959">
        <w:rPr>
          <w:color w:val="000000"/>
        </w:rPr>
        <w:t>WSCUC</w:t>
      </w:r>
      <w:r>
        <w:rPr>
          <w:color w:val="000000"/>
        </w:rPr>
        <w:t xml:space="preserve"> visit</w:t>
      </w:r>
    </w:p>
    <w:p w14:paraId="01DB0365" w14:textId="49F49C3B" w:rsidR="00C56788" w:rsidRDefault="00C56788" w:rsidP="00DA5365">
      <w:pPr>
        <w:numPr>
          <w:ilvl w:val="0"/>
          <w:numId w:val="16"/>
        </w:numPr>
        <w:pBdr>
          <w:top w:val="nil"/>
          <w:left w:val="nil"/>
          <w:bottom w:val="nil"/>
          <w:right w:val="nil"/>
          <w:between w:val="nil"/>
        </w:pBdr>
        <w:spacing w:after="0" w:line="240" w:lineRule="auto"/>
      </w:pPr>
      <w:r>
        <w:rPr>
          <w:color w:val="000000"/>
        </w:rPr>
        <w:t xml:space="preserve">Worked with </w:t>
      </w:r>
      <w:r w:rsidR="00F745AB">
        <w:rPr>
          <w:color w:val="000000"/>
        </w:rPr>
        <w:t xml:space="preserve">human resources </w:t>
      </w:r>
      <w:r>
        <w:rPr>
          <w:color w:val="000000"/>
        </w:rPr>
        <w:t xml:space="preserve">to align hiring policies with inclusivity and diversification goals; since the IT strategic plan was published in June 2019, IT has conducted 11 recruitment searches all of which were posted to a variety of job sites targeting diversity in higher education </w:t>
      </w:r>
    </w:p>
    <w:p w14:paraId="4A1DEF91" w14:textId="77777777" w:rsidR="00C56788" w:rsidRDefault="00C56788" w:rsidP="00DA5365">
      <w:pPr>
        <w:numPr>
          <w:ilvl w:val="0"/>
          <w:numId w:val="16"/>
        </w:numPr>
        <w:pBdr>
          <w:top w:val="nil"/>
          <w:left w:val="nil"/>
          <w:bottom w:val="nil"/>
          <w:right w:val="nil"/>
          <w:between w:val="nil"/>
        </w:pBdr>
        <w:spacing w:after="0" w:line="240" w:lineRule="auto"/>
      </w:pPr>
      <w:r>
        <w:rPr>
          <w:color w:val="000000"/>
        </w:rPr>
        <w:t>Pledged to a diversity, equity, and inclusion commitment via Educause</w:t>
      </w:r>
    </w:p>
    <w:p w14:paraId="797C5827" w14:textId="666FB1E9" w:rsidR="00C56788" w:rsidRDefault="00C56788" w:rsidP="00DA5365">
      <w:pPr>
        <w:numPr>
          <w:ilvl w:val="0"/>
          <w:numId w:val="16"/>
        </w:numPr>
        <w:spacing w:after="0" w:line="276" w:lineRule="auto"/>
      </w:pPr>
      <w:r>
        <w:t xml:space="preserve">Completed IT </w:t>
      </w:r>
      <w:r w:rsidR="00F745AB">
        <w:t>d</w:t>
      </w:r>
      <w:r>
        <w:t xml:space="preserve">isaster </w:t>
      </w:r>
      <w:r w:rsidR="00F745AB">
        <w:t xml:space="preserve">recovery </w:t>
      </w:r>
      <w:r>
        <w:t>plan, outlining which products would lose connectivity if power went down and what items are critical to campus to bring back up immediately</w:t>
      </w:r>
    </w:p>
    <w:p w14:paraId="324ED624" w14:textId="3D2C7657" w:rsidR="00C56788" w:rsidRPr="0080225E" w:rsidRDefault="00C56788" w:rsidP="00DA5365">
      <w:pPr>
        <w:numPr>
          <w:ilvl w:val="0"/>
          <w:numId w:val="16"/>
        </w:numPr>
        <w:pBdr>
          <w:top w:val="nil"/>
          <w:left w:val="nil"/>
          <w:bottom w:val="nil"/>
          <w:right w:val="nil"/>
          <w:between w:val="nil"/>
        </w:pBdr>
        <w:spacing w:after="0" w:line="240" w:lineRule="auto"/>
      </w:pPr>
      <w:r>
        <w:rPr>
          <w:color w:val="000000"/>
        </w:rPr>
        <w:t xml:space="preserve">Completed plan to resolve </w:t>
      </w:r>
      <w:r w:rsidR="002F088A">
        <w:rPr>
          <w:color w:val="000000"/>
        </w:rPr>
        <w:t>accessible technology initiative (</w:t>
      </w:r>
      <w:r>
        <w:rPr>
          <w:color w:val="000000"/>
        </w:rPr>
        <w:t>ATI</w:t>
      </w:r>
      <w:r w:rsidR="002F088A">
        <w:rPr>
          <w:color w:val="000000"/>
        </w:rPr>
        <w:t>)</w:t>
      </w:r>
      <w:r>
        <w:rPr>
          <w:color w:val="000000"/>
        </w:rPr>
        <w:t xml:space="preserve"> compliance work, in collaboration with CTET, as the recommendations from the recent ATI Audit affect both departments</w:t>
      </w:r>
    </w:p>
    <w:p w14:paraId="1579F43A" w14:textId="77777777" w:rsidR="00C56788" w:rsidRDefault="00C56788" w:rsidP="00C56788">
      <w:pPr>
        <w:spacing w:after="0" w:line="480" w:lineRule="auto"/>
        <w:rPr>
          <w:sz w:val="24"/>
          <w:szCs w:val="24"/>
        </w:rPr>
      </w:pPr>
    </w:p>
    <w:p w14:paraId="029B240C" w14:textId="263EA995" w:rsidR="00C56788" w:rsidRDefault="00C56788" w:rsidP="00C05F2C">
      <w:pPr>
        <w:pStyle w:val="Heading2"/>
      </w:pPr>
      <w:r>
        <w:t xml:space="preserve">CTET’s Improvement Efforts and New Strategic Plan </w:t>
      </w:r>
    </w:p>
    <w:p w14:paraId="4CFC901F" w14:textId="77777777" w:rsidR="00C05F2C" w:rsidRPr="00C05F2C" w:rsidRDefault="00C05F2C" w:rsidP="00C05F2C"/>
    <w:p w14:paraId="14C2A512" w14:textId="73C4B321" w:rsidR="00C56788" w:rsidRDefault="00C56788" w:rsidP="00C56788">
      <w:pPr>
        <w:spacing w:after="0" w:line="480" w:lineRule="auto"/>
        <w:ind w:firstLine="720"/>
        <w:rPr>
          <w:color w:val="333333"/>
          <w:highlight w:val="white"/>
        </w:rPr>
      </w:pPr>
      <w:r>
        <w:t xml:space="preserve">CTET </w:t>
      </w:r>
      <w:r>
        <w:rPr>
          <w:color w:val="333333"/>
        </w:rPr>
        <w:t xml:space="preserve">provides </w:t>
      </w:r>
      <w:r>
        <w:rPr>
          <w:color w:val="333333"/>
          <w:highlight w:val="white"/>
        </w:rPr>
        <w:t>customized consultation and workshops on instructional design and the optimal use of educational technology for teaching and learning</w:t>
      </w:r>
      <w:r w:rsidR="00D73797">
        <w:rPr>
          <w:color w:val="333333"/>
          <w:highlight w:val="white"/>
        </w:rPr>
        <w:t xml:space="preserve"> (</w:t>
      </w:r>
      <w:r w:rsidR="002F088A">
        <w:rPr>
          <w:color w:val="333333"/>
          <w:highlight w:val="white"/>
        </w:rPr>
        <w:t xml:space="preserve">see </w:t>
      </w:r>
      <w:r w:rsidR="00F745AB" w:rsidRPr="00411167">
        <w:rPr>
          <w:highlight w:val="white"/>
        </w:rPr>
        <w:t>a</w:t>
      </w:r>
      <w:r w:rsidR="00DB2390" w:rsidRPr="00411167">
        <w:rPr>
          <w:highlight w:val="white"/>
        </w:rPr>
        <w:t>ppendix</w:t>
      </w:r>
      <w:r w:rsidR="00D73797" w:rsidRPr="00411167">
        <w:rPr>
          <w:highlight w:val="white"/>
        </w:rPr>
        <w:t xml:space="preserve"> 5</w:t>
      </w:r>
      <w:r w:rsidR="00D73797">
        <w:rPr>
          <w:color w:val="333333"/>
          <w:highlight w:val="white"/>
        </w:rPr>
        <w:t xml:space="preserve"> for links to CTET’s website and services)</w:t>
      </w:r>
      <w:r>
        <w:rPr>
          <w:color w:val="333333"/>
          <w:highlight w:val="white"/>
        </w:rPr>
        <w:t>.</w:t>
      </w:r>
      <w:r w:rsidR="00661CEC">
        <w:rPr>
          <w:color w:val="333333"/>
          <w:highlight w:val="white"/>
        </w:rPr>
        <w:t xml:space="preserve"> </w:t>
      </w:r>
      <w:r>
        <w:rPr>
          <w:color w:val="333333"/>
          <w:highlight w:val="white"/>
        </w:rPr>
        <w:t>Both faculty and students are benefitting from a transformational expansion in SSU’s academic technologies.</w:t>
      </w:r>
      <w:r w:rsidR="00661CEC">
        <w:rPr>
          <w:color w:val="333333"/>
          <w:highlight w:val="white"/>
        </w:rPr>
        <w:t xml:space="preserve"> </w:t>
      </w:r>
      <w:r>
        <w:rPr>
          <w:color w:val="333333"/>
          <w:highlight w:val="white"/>
        </w:rPr>
        <w:t xml:space="preserve">Since </w:t>
      </w:r>
      <w:r w:rsidR="00D73797">
        <w:rPr>
          <w:color w:val="333333"/>
          <w:highlight w:val="white"/>
        </w:rPr>
        <w:t xml:space="preserve">WSCUC’s </w:t>
      </w:r>
      <w:r>
        <w:rPr>
          <w:color w:val="333333"/>
          <w:highlight w:val="white"/>
        </w:rPr>
        <w:t>last visit in 2017, SSU has significantly grown its portfolio of academic technology platforms</w:t>
      </w:r>
      <w:r w:rsidR="00D73797">
        <w:rPr>
          <w:color w:val="333333"/>
          <w:highlight w:val="white"/>
        </w:rPr>
        <w:t>,</w:t>
      </w:r>
      <w:r>
        <w:rPr>
          <w:color w:val="333333"/>
          <w:highlight w:val="white"/>
        </w:rPr>
        <w:t xml:space="preserve"> and CTET offers training on all of them, including those shown below:</w:t>
      </w:r>
    </w:p>
    <w:p w14:paraId="0A436CAD" w14:textId="00136D98" w:rsidR="00C56788" w:rsidRDefault="00E15655" w:rsidP="00C56788">
      <w:pPr>
        <w:spacing w:after="0" w:line="480" w:lineRule="auto"/>
        <w:ind w:firstLine="720"/>
        <w:rPr>
          <w:rFonts w:ascii="Helvetica Neue" w:eastAsia="Helvetica Neue" w:hAnsi="Helvetica Neue" w:cs="Helvetica Neue"/>
          <w:color w:val="333333"/>
          <w:highlight w:val="white"/>
        </w:rPr>
      </w:pPr>
      <w:r>
        <w:rPr>
          <w:noProof/>
        </w:rPr>
        <w:lastRenderedPageBreak/>
        <w:drawing>
          <wp:inline distT="0" distB="0" distL="0" distR="0" wp14:anchorId="04600D1B" wp14:editId="4E024BE9">
            <wp:extent cx="4057650" cy="5780595"/>
            <wp:effectExtent l="0" t="0" r="0" b="0"/>
            <wp:docPr id="20" name="Picture 20" descr="Graphic showing a list of the academic technology platforms avai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43697" t="27751" r="37019" b="16404"/>
                    <a:stretch/>
                  </pic:blipFill>
                  <pic:spPr bwMode="auto">
                    <a:xfrm>
                      <a:off x="0" y="0"/>
                      <a:ext cx="4061563" cy="5786169"/>
                    </a:xfrm>
                    <a:prstGeom prst="rect">
                      <a:avLst/>
                    </a:prstGeom>
                    <a:ln>
                      <a:noFill/>
                    </a:ln>
                    <a:extLst>
                      <a:ext uri="{53640926-AAD7-44D8-BBD7-CCE9431645EC}">
                        <a14:shadowObscured xmlns:a14="http://schemas.microsoft.com/office/drawing/2010/main"/>
                      </a:ext>
                    </a:extLst>
                  </pic:spPr>
                </pic:pic>
              </a:graphicData>
            </a:graphic>
          </wp:inline>
        </w:drawing>
      </w:r>
    </w:p>
    <w:p w14:paraId="1CDDD5B7" w14:textId="43C0CE45" w:rsidR="00C56788" w:rsidRDefault="00C56788" w:rsidP="00C56788">
      <w:pPr>
        <w:spacing w:after="0" w:line="480" w:lineRule="auto"/>
        <w:ind w:firstLine="720"/>
      </w:pPr>
      <w:r>
        <w:t>CTET has also expanded its portfolio of faculty development programs</w:t>
      </w:r>
      <w:r w:rsidR="00D73797">
        <w:t xml:space="preserve"> (</w:t>
      </w:r>
      <w:r w:rsidR="002F088A">
        <w:t xml:space="preserve">see </w:t>
      </w:r>
      <w:r w:rsidR="00F745AB" w:rsidRPr="00411167">
        <w:t>a</w:t>
      </w:r>
      <w:r w:rsidR="00DB2390" w:rsidRPr="00411167">
        <w:t>ppendix</w:t>
      </w:r>
      <w:r w:rsidR="00D73797" w:rsidRPr="00411167">
        <w:t xml:space="preserve"> 5</w:t>
      </w:r>
      <w:r w:rsidR="00D73797" w:rsidRPr="0080225E">
        <w:t xml:space="preserve"> </w:t>
      </w:r>
      <w:r w:rsidR="00D73797">
        <w:t>for links to CTET’s faculty development programs)</w:t>
      </w:r>
      <w:r>
        <w:t>.</w:t>
      </w:r>
      <w:r w:rsidR="00661CEC">
        <w:t xml:space="preserve"> </w:t>
      </w:r>
      <w:r>
        <w:t>In addition to academic technology support, the department offers consultation and/or training on the following topics:</w:t>
      </w:r>
    </w:p>
    <w:tbl>
      <w:tblPr>
        <w:tblW w:w="9350" w:type="dxa"/>
        <w:tblBorders>
          <w:top w:val="nil"/>
          <w:left w:val="nil"/>
          <w:bottom w:val="nil"/>
          <w:right w:val="nil"/>
          <w:insideH w:val="nil"/>
          <w:insideV w:val="nil"/>
        </w:tblBorders>
        <w:tblLayout w:type="fixed"/>
        <w:tblLook w:val="0400" w:firstRow="0" w:lastRow="0" w:firstColumn="0" w:lastColumn="0" w:noHBand="0" w:noVBand="1"/>
        <w:tblCaption w:val="CTET Consulation and Training Topics"/>
        <w:tblDescription w:val="A list of the trainings available through CTET."/>
      </w:tblPr>
      <w:tblGrid>
        <w:gridCol w:w="4675"/>
        <w:gridCol w:w="4675"/>
      </w:tblGrid>
      <w:tr w:rsidR="00C56788" w14:paraId="39E15D08" w14:textId="77777777" w:rsidTr="00661CEC">
        <w:tc>
          <w:tcPr>
            <w:tcW w:w="4675" w:type="dxa"/>
          </w:tcPr>
          <w:p w14:paraId="055C95B7"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rPr>
              <w:t>Online &amp; blended (hybrid) course development </w:t>
            </w:r>
          </w:p>
          <w:p w14:paraId="4BE844DA"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rPr>
              <w:t>Conversion/creation of existing course activities into learning objects</w:t>
            </w:r>
          </w:p>
          <w:p w14:paraId="28A641F4"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rPr>
              <w:t>Creation of accessible media and instructional materials </w:t>
            </w:r>
          </w:p>
          <w:p w14:paraId="0D3CF08E"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highlight w:val="white"/>
              </w:rPr>
              <w:t>Making grading efficient</w:t>
            </w:r>
          </w:p>
          <w:p w14:paraId="75E532ED"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highlight w:val="white"/>
              </w:rPr>
              <w:lastRenderedPageBreak/>
              <w:t>Classroom management/preventing problematic behavior</w:t>
            </w:r>
          </w:p>
          <w:p w14:paraId="74DFA8E7"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highlight w:val="white"/>
              </w:rPr>
              <w:t>Working with challenging students</w:t>
            </w:r>
          </w:p>
          <w:p w14:paraId="435F9B08"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highlight w:val="white"/>
              </w:rPr>
              <w:t>Course curriculum design</w:t>
            </w:r>
          </w:p>
          <w:p w14:paraId="45CB5826" w14:textId="77777777" w:rsidR="00C56788" w:rsidRDefault="00C56788" w:rsidP="00CC225E">
            <w:pPr>
              <w:numPr>
                <w:ilvl w:val="0"/>
                <w:numId w:val="18"/>
              </w:numPr>
              <w:shd w:val="clear" w:color="auto" w:fill="FFFFFF"/>
              <w:spacing w:after="60"/>
              <w:ind w:left="335" w:hanging="205"/>
              <w:rPr>
                <w:color w:val="333333"/>
                <w:sz w:val="20"/>
                <w:szCs w:val="20"/>
              </w:rPr>
            </w:pPr>
            <w:r>
              <w:rPr>
                <w:color w:val="333333"/>
                <w:sz w:val="20"/>
                <w:szCs w:val="20"/>
                <w:highlight w:val="white"/>
              </w:rPr>
              <w:t>Writing good exam questions</w:t>
            </w:r>
          </w:p>
        </w:tc>
        <w:tc>
          <w:tcPr>
            <w:tcW w:w="4675" w:type="dxa"/>
          </w:tcPr>
          <w:p w14:paraId="25018645" w14:textId="29C740E7" w:rsidR="00C56788" w:rsidRDefault="00C56788" w:rsidP="00CC225E">
            <w:pPr>
              <w:numPr>
                <w:ilvl w:val="0"/>
                <w:numId w:val="18"/>
              </w:numPr>
              <w:shd w:val="clear" w:color="auto" w:fill="FFFFFF"/>
              <w:spacing w:after="60"/>
              <w:ind w:left="250" w:hanging="180"/>
              <w:rPr>
                <w:color w:val="333333"/>
                <w:sz w:val="20"/>
                <w:szCs w:val="20"/>
              </w:rPr>
            </w:pPr>
            <w:r>
              <w:rPr>
                <w:color w:val="333333"/>
                <w:sz w:val="20"/>
                <w:szCs w:val="20"/>
                <w:highlight w:val="white"/>
              </w:rPr>
              <w:lastRenderedPageBreak/>
              <w:t xml:space="preserve">Interpreting </w:t>
            </w:r>
            <w:r w:rsidR="00F745AB">
              <w:rPr>
                <w:color w:val="333333"/>
                <w:sz w:val="20"/>
                <w:szCs w:val="20"/>
                <w:highlight w:val="white"/>
              </w:rPr>
              <w:t>student evaluations</w:t>
            </w:r>
          </w:p>
          <w:p w14:paraId="4688BE16" w14:textId="77777777" w:rsidR="00C56788" w:rsidRDefault="00C56788" w:rsidP="00CC225E">
            <w:pPr>
              <w:numPr>
                <w:ilvl w:val="0"/>
                <w:numId w:val="18"/>
              </w:numPr>
              <w:shd w:val="clear" w:color="auto" w:fill="FFFFFF"/>
              <w:spacing w:after="60"/>
              <w:ind w:left="250" w:hanging="180"/>
              <w:rPr>
                <w:color w:val="333333"/>
                <w:sz w:val="20"/>
                <w:szCs w:val="20"/>
              </w:rPr>
            </w:pPr>
            <w:r>
              <w:rPr>
                <w:color w:val="333333"/>
                <w:sz w:val="20"/>
                <w:szCs w:val="20"/>
                <w:highlight w:val="white"/>
              </w:rPr>
              <w:t>Reflecting on teaching for recruitment, tenure, and promotion</w:t>
            </w:r>
          </w:p>
          <w:p w14:paraId="06F1349A" w14:textId="77777777" w:rsidR="00C56788" w:rsidRDefault="00C56788" w:rsidP="00CC225E">
            <w:pPr>
              <w:numPr>
                <w:ilvl w:val="0"/>
                <w:numId w:val="19"/>
              </w:numPr>
              <w:shd w:val="clear" w:color="auto" w:fill="FFFFFF"/>
              <w:spacing w:after="60"/>
              <w:ind w:left="250" w:hanging="180"/>
              <w:rPr>
                <w:color w:val="333333"/>
                <w:sz w:val="20"/>
                <w:szCs w:val="20"/>
              </w:rPr>
            </w:pPr>
            <w:r>
              <w:rPr>
                <w:color w:val="333333"/>
                <w:sz w:val="20"/>
                <w:szCs w:val="20"/>
              </w:rPr>
              <w:t>Consultation on the creation of course-level learning outcomes </w:t>
            </w:r>
          </w:p>
          <w:p w14:paraId="6E7BACEB" w14:textId="77777777" w:rsidR="00C56788" w:rsidRDefault="00C56788" w:rsidP="00CC225E">
            <w:pPr>
              <w:numPr>
                <w:ilvl w:val="0"/>
                <w:numId w:val="19"/>
              </w:numPr>
              <w:shd w:val="clear" w:color="auto" w:fill="FFFFFF"/>
              <w:spacing w:after="60"/>
              <w:ind w:left="250" w:hanging="180"/>
              <w:rPr>
                <w:color w:val="333333"/>
                <w:sz w:val="20"/>
                <w:szCs w:val="20"/>
              </w:rPr>
            </w:pPr>
            <w:r>
              <w:rPr>
                <w:color w:val="333333"/>
                <w:sz w:val="20"/>
                <w:szCs w:val="20"/>
              </w:rPr>
              <w:t>Consultation for departmental program review </w:t>
            </w:r>
          </w:p>
          <w:p w14:paraId="19A59D53" w14:textId="77777777" w:rsidR="00C56788" w:rsidRDefault="00C56788" w:rsidP="00CC225E">
            <w:pPr>
              <w:numPr>
                <w:ilvl w:val="0"/>
                <w:numId w:val="19"/>
              </w:numPr>
              <w:shd w:val="clear" w:color="auto" w:fill="FFFFFF"/>
              <w:spacing w:after="60"/>
              <w:ind w:left="250" w:hanging="180"/>
              <w:rPr>
                <w:color w:val="333333"/>
                <w:sz w:val="20"/>
                <w:szCs w:val="20"/>
              </w:rPr>
            </w:pPr>
            <w:r>
              <w:rPr>
                <w:color w:val="333333"/>
                <w:sz w:val="20"/>
                <w:szCs w:val="20"/>
              </w:rPr>
              <w:lastRenderedPageBreak/>
              <w:t>Scholarship of teaching and learning </w:t>
            </w:r>
          </w:p>
          <w:p w14:paraId="019126A3" w14:textId="77777777" w:rsidR="00C56788" w:rsidRDefault="00C56788" w:rsidP="00CC225E">
            <w:pPr>
              <w:numPr>
                <w:ilvl w:val="0"/>
                <w:numId w:val="19"/>
              </w:numPr>
              <w:shd w:val="clear" w:color="auto" w:fill="FFFFFF"/>
              <w:spacing w:after="60"/>
              <w:ind w:left="250" w:hanging="180"/>
              <w:rPr>
                <w:color w:val="333333"/>
                <w:sz w:val="20"/>
                <w:szCs w:val="20"/>
              </w:rPr>
            </w:pPr>
            <w:r>
              <w:rPr>
                <w:color w:val="333333"/>
                <w:sz w:val="20"/>
                <w:szCs w:val="20"/>
              </w:rPr>
              <w:t>Help with data collection and IRB protocols for educational research </w:t>
            </w:r>
          </w:p>
          <w:p w14:paraId="3883F882" w14:textId="77777777" w:rsidR="00C56788" w:rsidRDefault="00C56788" w:rsidP="00CC225E">
            <w:pPr>
              <w:numPr>
                <w:ilvl w:val="0"/>
                <w:numId w:val="19"/>
              </w:numPr>
              <w:shd w:val="clear" w:color="auto" w:fill="FFFFFF"/>
              <w:spacing w:after="60"/>
              <w:ind w:left="250" w:hanging="180"/>
              <w:rPr>
                <w:color w:val="333333"/>
                <w:sz w:val="20"/>
                <w:szCs w:val="20"/>
              </w:rPr>
            </w:pPr>
            <w:r>
              <w:rPr>
                <w:color w:val="333333"/>
                <w:sz w:val="20"/>
                <w:szCs w:val="20"/>
              </w:rPr>
              <w:t>Survey design using Qualtrics for formative/summative assessment </w:t>
            </w:r>
          </w:p>
        </w:tc>
      </w:tr>
    </w:tbl>
    <w:p w14:paraId="15BADDFE" w14:textId="017B174F" w:rsidR="00401166" w:rsidRDefault="00401166" w:rsidP="00C56788">
      <w:pPr>
        <w:shd w:val="clear" w:color="auto" w:fill="FFFFFF"/>
        <w:spacing w:after="0" w:line="240" w:lineRule="auto"/>
        <w:rPr>
          <w:color w:val="333333"/>
          <w:sz w:val="20"/>
          <w:szCs w:val="20"/>
        </w:rPr>
      </w:pPr>
    </w:p>
    <w:p w14:paraId="6C16E2CF" w14:textId="45832F41" w:rsidR="00C56788" w:rsidRPr="003B22CB" w:rsidRDefault="00C56788" w:rsidP="00401166">
      <w:pPr>
        <w:spacing w:after="0" w:line="480" w:lineRule="auto"/>
        <w:rPr>
          <w:color w:val="000000" w:themeColor="text1"/>
          <w:sz w:val="20"/>
          <w:szCs w:val="20"/>
        </w:rPr>
      </w:pPr>
      <w:r>
        <w:t xml:space="preserve">CTET finalized its new strategic plan in 2019, thereby aligning its goals and priorities with SSU’s and </w:t>
      </w:r>
      <w:r w:rsidR="00F745AB">
        <w:t xml:space="preserve">academic affairs’ </w:t>
      </w:r>
      <w:r>
        <w:t>strategic plans.</w:t>
      </w:r>
      <w:r w:rsidR="00661CEC">
        <w:t xml:space="preserve"> </w:t>
      </w:r>
      <w:r>
        <w:t xml:space="preserve">The programming at CTET is designed to advance the </w:t>
      </w:r>
      <w:r w:rsidR="00F745AB">
        <w:t xml:space="preserve">academic excellence </w:t>
      </w:r>
      <w:r>
        <w:t xml:space="preserve">and </w:t>
      </w:r>
      <w:r w:rsidR="00F745AB">
        <w:t xml:space="preserve">innovation </w:t>
      </w:r>
      <w:r>
        <w:t>strategic priority and its supporting theme of ‘</w:t>
      </w:r>
      <w:r>
        <w:rPr>
          <w:i/>
        </w:rPr>
        <w:t>embracing innovation teaching and learning practices</w:t>
      </w:r>
      <w:r>
        <w:t>’.</w:t>
      </w:r>
      <w:r w:rsidR="00661CEC">
        <w:t xml:space="preserve"> </w:t>
      </w:r>
      <w:r>
        <w:t>CTET’s mission is as follows:</w:t>
      </w:r>
      <w:r w:rsidR="00661CEC">
        <w:t xml:space="preserve"> </w:t>
      </w:r>
      <w:r>
        <w:t>“</w:t>
      </w:r>
      <w:r w:rsidRPr="003B22CB">
        <w:rPr>
          <w:i/>
          <w:color w:val="000000" w:themeColor="text1"/>
          <w:highlight w:val="white"/>
        </w:rPr>
        <w:t>We conceptualize innovative teaching and learning practices broadly to include educational technology as a teaching tool, evidence-based teaching practices and techniques, and promotion of high-quality teaching to support success for a diverse student body.”</w:t>
      </w:r>
      <w:r w:rsidR="00925B41" w:rsidRPr="003B22CB">
        <w:rPr>
          <w:i/>
          <w:color w:val="000000" w:themeColor="text1"/>
          <w:highlight w:val="white"/>
        </w:rPr>
        <w:t xml:space="preserve"> </w:t>
      </w:r>
      <w:r w:rsidRPr="003B22CB">
        <w:rPr>
          <w:color w:val="000000" w:themeColor="text1"/>
        </w:rPr>
        <w:t>CTET’s strategic plan is shown below:</w:t>
      </w:r>
    </w:p>
    <w:p w14:paraId="30785600" w14:textId="77777777" w:rsidR="00A12ADD" w:rsidRDefault="00A12ADD" w:rsidP="007647D8">
      <w:pPr>
        <w:spacing w:after="0" w:line="240" w:lineRule="auto"/>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TET's Strategic Priorities"/>
        <w:tblDescription w:val="A table listing CTET's strategic priorities broken up into goals, tactics, and measures."/>
      </w:tblPr>
      <w:tblGrid>
        <w:gridCol w:w="2785"/>
        <w:gridCol w:w="3240"/>
        <w:gridCol w:w="3325"/>
      </w:tblGrid>
      <w:tr w:rsidR="00C56788" w14:paraId="186F7CAC" w14:textId="77777777" w:rsidTr="00661CEC">
        <w:trPr>
          <w:trHeight w:val="440"/>
        </w:trPr>
        <w:tc>
          <w:tcPr>
            <w:tcW w:w="9350" w:type="dxa"/>
            <w:gridSpan w:val="3"/>
            <w:shd w:val="clear" w:color="auto" w:fill="B4C6E7"/>
            <w:vAlign w:val="center"/>
          </w:tcPr>
          <w:p w14:paraId="13149A48" w14:textId="3E314DAC" w:rsidR="00C56788" w:rsidRPr="0053401A" w:rsidRDefault="00C56788" w:rsidP="00661CEC">
            <w:pPr>
              <w:rPr>
                <w:rStyle w:val="Strong"/>
              </w:rPr>
            </w:pPr>
            <w:r w:rsidRPr="0053401A">
              <w:rPr>
                <w:rStyle w:val="Strong"/>
              </w:rPr>
              <w:t>Strategic Priority #2:</w:t>
            </w:r>
            <w:r w:rsidR="00661CEC" w:rsidRPr="0053401A">
              <w:rPr>
                <w:rStyle w:val="Strong"/>
              </w:rPr>
              <w:t xml:space="preserve"> </w:t>
            </w:r>
            <w:r w:rsidRPr="0053401A">
              <w:rPr>
                <w:rStyle w:val="Strong"/>
              </w:rPr>
              <w:t>Academic Excellence and Innovation</w:t>
            </w:r>
          </w:p>
        </w:tc>
      </w:tr>
      <w:tr w:rsidR="00C56788" w14:paraId="5FCB0229" w14:textId="77777777" w:rsidTr="0080225E">
        <w:tc>
          <w:tcPr>
            <w:tcW w:w="2785" w:type="dxa"/>
          </w:tcPr>
          <w:p w14:paraId="080E9506" w14:textId="77777777" w:rsidR="00C56788" w:rsidRPr="0053401A" w:rsidRDefault="00C56788" w:rsidP="00661CEC">
            <w:pPr>
              <w:rPr>
                <w:rStyle w:val="Strong"/>
              </w:rPr>
            </w:pPr>
            <w:r w:rsidRPr="0053401A">
              <w:rPr>
                <w:rStyle w:val="Strong"/>
              </w:rPr>
              <w:t>Goal</w:t>
            </w:r>
          </w:p>
        </w:tc>
        <w:tc>
          <w:tcPr>
            <w:tcW w:w="3240" w:type="dxa"/>
            <w:tcBorders>
              <w:bottom w:val="single" w:sz="4" w:space="0" w:color="000000"/>
            </w:tcBorders>
          </w:tcPr>
          <w:p w14:paraId="3277C60C" w14:textId="77777777" w:rsidR="00C56788" w:rsidRPr="0053401A" w:rsidRDefault="00C56788" w:rsidP="00661CEC">
            <w:pPr>
              <w:rPr>
                <w:rStyle w:val="Strong"/>
              </w:rPr>
            </w:pPr>
            <w:r w:rsidRPr="0053401A">
              <w:rPr>
                <w:rStyle w:val="Strong"/>
              </w:rPr>
              <w:t>Tactics</w:t>
            </w:r>
          </w:p>
        </w:tc>
        <w:tc>
          <w:tcPr>
            <w:tcW w:w="3325" w:type="dxa"/>
            <w:tcBorders>
              <w:bottom w:val="single" w:sz="4" w:space="0" w:color="000000"/>
            </w:tcBorders>
          </w:tcPr>
          <w:p w14:paraId="37F57D0C" w14:textId="77777777" w:rsidR="00C56788" w:rsidRPr="0053401A" w:rsidRDefault="00C56788" w:rsidP="00661CEC">
            <w:pPr>
              <w:rPr>
                <w:rStyle w:val="Strong"/>
              </w:rPr>
            </w:pPr>
            <w:r w:rsidRPr="0053401A">
              <w:rPr>
                <w:rStyle w:val="Strong"/>
              </w:rPr>
              <w:t xml:space="preserve">Measures </w:t>
            </w:r>
          </w:p>
        </w:tc>
      </w:tr>
      <w:tr w:rsidR="00C56788" w14:paraId="694B8507" w14:textId="77777777" w:rsidTr="007647D8">
        <w:trPr>
          <w:trHeight w:val="1250"/>
        </w:trPr>
        <w:tc>
          <w:tcPr>
            <w:tcW w:w="2785" w:type="dxa"/>
          </w:tcPr>
          <w:p w14:paraId="0A1EBFB5" w14:textId="77777777" w:rsidR="00C56788" w:rsidRDefault="00C56788" w:rsidP="00661CEC">
            <w:pPr>
              <w:rPr>
                <w:sz w:val="20"/>
                <w:szCs w:val="20"/>
              </w:rPr>
            </w:pPr>
            <w:r w:rsidRPr="0080679F">
              <w:rPr>
                <w:color w:val="333333"/>
                <w:sz w:val="20"/>
                <w:szCs w:val="20"/>
              </w:rPr>
              <w:t>Empower faculty to lead transformative learning environments with high-quality teaching to support a diverse student body and promote student success</w:t>
            </w:r>
          </w:p>
        </w:tc>
        <w:tc>
          <w:tcPr>
            <w:tcW w:w="3240" w:type="dxa"/>
            <w:shd w:val="clear" w:color="auto" w:fill="auto"/>
          </w:tcPr>
          <w:p w14:paraId="58AD29F1" w14:textId="77777777" w:rsidR="00C56788" w:rsidRPr="0080679F" w:rsidRDefault="00C56788" w:rsidP="00CC225E">
            <w:pPr>
              <w:numPr>
                <w:ilvl w:val="0"/>
                <w:numId w:val="15"/>
              </w:numPr>
              <w:spacing w:after="60"/>
              <w:ind w:left="250" w:hanging="180"/>
              <w:rPr>
                <w:color w:val="333333"/>
                <w:sz w:val="20"/>
                <w:szCs w:val="20"/>
              </w:rPr>
            </w:pPr>
            <w:r w:rsidRPr="0080679F">
              <w:rPr>
                <w:color w:val="333333"/>
                <w:sz w:val="20"/>
                <w:szCs w:val="20"/>
              </w:rPr>
              <w:t>School &amp; department custom workshops</w:t>
            </w:r>
          </w:p>
          <w:p w14:paraId="062EDC52" w14:textId="77777777" w:rsidR="00C56788" w:rsidRPr="0080679F" w:rsidRDefault="00C56788" w:rsidP="00CC225E">
            <w:pPr>
              <w:numPr>
                <w:ilvl w:val="0"/>
                <w:numId w:val="15"/>
              </w:numPr>
              <w:spacing w:after="60"/>
              <w:ind w:left="250" w:hanging="180"/>
              <w:rPr>
                <w:color w:val="333333"/>
                <w:sz w:val="20"/>
                <w:szCs w:val="20"/>
              </w:rPr>
            </w:pPr>
            <w:r w:rsidRPr="0080679F">
              <w:rPr>
                <w:color w:val="333333"/>
                <w:sz w:val="20"/>
                <w:szCs w:val="20"/>
              </w:rPr>
              <w:t>Individual instructional consultation</w:t>
            </w:r>
          </w:p>
          <w:p w14:paraId="4EC6DA21" w14:textId="77777777" w:rsidR="00C56788" w:rsidRPr="0080679F" w:rsidRDefault="00C56788" w:rsidP="00CC225E">
            <w:pPr>
              <w:numPr>
                <w:ilvl w:val="0"/>
                <w:numId w:val="15"/>
              </w:numPr>
              <w:spacing w:after="60"/>
              <w:ind w:left="250" w:hanging="180"/>
              <w:rPr>
                <w:color w:val="333333"/>
                <w:sz w:val="20"/>
                <w:szCs w:val="20"/>
              </w:rPr>
            </w:pPr>
            <w:r w:rsidRPr="0080679F">
              <w:rPr>
                <w:color w:val="333333"/>
                <w:sz w:val="20"/>
                <w:szCs w:val="20"/>
              </w:rPr>
              <w:t>Teaching-related grant support</w:t>
            </w:r>
          </w:p>
          <w:p w14:paraId="3DAB0180" w14:textId="77777777" w:rsidR="00C56788" w:rsidRPr="0080679F" w:rsidRDefault="00C56788" w:rsidP="00CC225E">
            <w:pPr>
              <w:numPr>
                <w:ilvl w:val="0"/>
                <w:numId w:val="15"/>
              </w:numPr>
              <w:spacing w:after="60"/>
              <w:ind w:left="250" w:hanging="180"/>
              <w:rPr>
                <w:color w:val="333333"/>
                <w:sz w:val="20"/>
                <w:szCs w:val="20"/>
              </w:rPr>
            </w:pPr>
            <w:r w:rsidRPr="0080679F">
              <w:rPr>
                <w:color w:val="333333"/>
                <w:sz w:val="20"/>
                <w:szCs w:val="20"/>
              </w:rPr>
              <w:t>Faculty learning communities</w:t>
            </w:r>
          </w:p>
          <w:p w14:paraId="64655959" w14:textId="77777777" w:rsidR="00C56788" w:rsidRPr="0080679F" w:rsidRDefault="00C56788" w:rsidP="00CC225E">
            <w:pPr>
              <w:numPr>
                <w:ilvl w:val="0"/>
                <w:numId w:val="15"/>
              </w:numPr>
              <w:spacing w:after="60"/>
              <w:ind w:left="250" w:hanging="180"/>
              <w:rPr>
                <w:color w:val="333333"/>
                <w:sz w:val="20"/>
                <w:szCs w:val="20"/>
              </w:rPr>
            </w:pPr>
            <w:r w:rsidRPr="0080679F">
              <w:rPr>
                <w:color w:val="333333"/>
                <w:sz w:val="20"/>
                <w:szCs w:val="20"/>
              </w:rPr>
              <w:t>Website self-help resources &amp; guides</w:t>
            </w:r>
          </w:p>
        </w:tc>
        <w:tc>
          <w:tcPr>
            <w:tcW w:w="3325" w:type="dxa"/>
            <w:shd w:val="clear" w:color="auto" w:fill="auto"/>
          </w:tcPr>
          <w:p w14:paraId="1F21A0F9" w14:textId="77777777" w:rsidR="00C56788" w:rsidRPr="0080679F" w:rsidRDefault="00C56788" w:rsidP="00CC225E">
            <w:pPr>
              <w:numPr>
                <w:ilvl w:val="0"/>
                <w:numId w:val="17"/>
              </w:numPr>
              <w:spacing w:after="60"/>
              <w:ind w:left="250" w:hanging="180"/>
              <w:rPr>
                <w:color w:val="333333"/>
                <w:sz w:val="20"/>
                <w:szCs w:val="20"/>
              </w:rPr>
            </w:pPr>
            <w:r w:rsidRPr="0080679F">
              <w:rPr>
                <w:color w:val="333333"/>
                <w:sz w:val="20"/>
                <w:szCs w:val="20"/>
              </w:rPr>
              <w:t>Number of consultations per year by School</w:t>
            </w:r>
          </w:p>
          <w:p w14:paraId="68292AAD" w14:textId="77777777" w:rsidR="00C56788" w:rsidRPr="0080679F" w:rsidRDefault="00C56788" w:rsidP="00CC225E">
            <w:pPr>
              <w:numPr>
                <w:ilvl w:val="0"/>
                <w:numId w:val="17"/>
              </w:numPr>
              <w:spacing w:after="60"/>
              <w:ind w:left="250" w:hanging="180"/>
              <w:rPr>
                <w:color w:val="333333"/>
                <w:sz w:val="20"/>
                <w:szCs w:val="20"/>
              </w:rPr>
            </w:pPr>
            <w:r w:rsidRPr="0080679F">
              <w:rPr>
                <w:color w:val="333333"/>
                <w:sz w:val="20"/>
                <w:szCs w:val="20"/>
              </w:rPr>
              <w:t>Number of workshop attendees</w:t>
            </w:r>
          </w:p>
          <w:p w14:paraId="0E570DDC" w14:textId="77777777" w:rsidR="00C56788" w:rsidRPr="0080679F" w:rsidRDefault="00C56788" w:rsidP="00CC225E">
            <w:pPr>
              <w:numPr>
                <w:ilvl w:val="0"/>
                <w:numId w:val="17"/>
              </w:numPr>
              <w:spacing w:after="60"/>
              <w:ind w:left="250" w:hanging="180"/>
              <w:rPr>
                <w:color w:val="333333"/>
                <w:sz w:val="20"/>
                <w:szCs w:val="20"/>
              </w:rPr>
            </w:pPr>
            <w:r w:rsidRPr="0080679F">
              <w:rPr>
                <w:color w:val="333333"/>
                <w:sz w:val="20"/>
                <w:szCs w:val="20"/>
              </w:rPr>
              <w:t>Feedback from workshops</w:t>
            </w:r>
          </w:p>
          <w:p w14:paraId="3CBB70B0" w14:textId="77777777" w:rsidR="00C56788" w:rsidRPr="0080679F" w:rsidRDefault="00C56788" w:rsidP="00CC225E">
            <w:pPr>
              <w:numPr>
                <w:ilvl w:val="0"/>
                <w:numId w:val="17"/>
              </w:numPr>
              <w:spacing w:after="60"/>
              <w:ind w:left="250" w:hanging="180"/>
              <w:rPr>
                <w:color w:val="333333"/>
                <w:sz w:val="20"/>
                <w:szCs w:val="20"/>
              </w:rPr>
            </w:pPr>
            <w:r w:rsidRPr="0080679F">
              <w:rPr>
                <w:color w:val="333333"/>
                <w:sz w:val="20"/>
                <w:szCs w:val="20"/>
              </w:rPr>
              <w:t>Increases in faculty visits to CTET</w:t>
            </w:r>
          </w:p>
          <w:p w14:paraId="7DDED983" w14:textId="77777777" w:rsidR="00C56788" w:rsidRPr="0080679F" w:rsidRDefault="00C56788" w:rsidP="00CC225E">
            <w:pPr>
              <w:spacing w:after="60"/>
              <w:ind w:left="250" w:hanging="180"/>
              <w:rPr>
                <w:sz w:val="20"/>
                <w:szCs w:val="20"/>
              </w:rPr>
            </w:pPr>
          </w:p>
        </w:tc>
      </w:tr>
      <w:tr w:rsidR="00C56788" w14:paraId="78395CDE" w14:textId="77777777" w:rsidTr="00661CEC">
        <w:tc>
          <w:tcPr>
            <w:tcW w:w="2785" w:type="dxa"/>
          </w:tcPr>
          <w:p w14:paraId="113B42ED" w14:textId="77777777" w:rsidR="00C56788" w:rsidRDefault="00C56788" w:rsidP="00661CEC">
            <w:pPr>
              <w:rPr>
                <w:sz w:val="20"/>
                <w:szCs w:val="20"/>
              </w:rPr>
            </w:pPr>
            <w:r w:rsidRPr="0080679F">
              <w:rPr>
                <w:color w:val="333333"/>
                <w:sz w:val="20"/>
                <w:szCs w:val="20"/>
              </w:rPr>
              <w:t>Foster innovation in teaching and learning with technology in support of engaged learning, building communities, and promoting continuous improvement</w:t>
            </w:r>
          </w:p>
        </w:tc>
        <w:tc>
          <w:tcPr>
            <w:tcW w:w="3240" w:type="dxa"/>
            <w:shd w:val="clear" w:color="auto" w:fill="auto"/>
          </w:tcPr>
          <w:p w14:paraId="2983285C" w14:textId="77777777" w:rsidR="00C56788" w:rsidRDefault="00C56788" w:rsidP="00CC225E">
            <w:pPr>
              <w:numPr>
                <w:ilvl w:val="0"/>
                <w:numId w:val="13"/>
              </w:numPr>
              <w:pBdr>
                <w:top w:val="nil"/>
                <w:left w:val="nil"/>
                <w:bottom w:val="nil"/>
                <w:right w:val="nil"/>
                <w:between w:val="nil"/>
              </w:pBdr>
              <w:spacing w:after="60"/>
              <w:ind w:left="250" w:hanging="180"/>
              <w:rPr>
                <w:color w:val="000000"/>
                <w:sz w:val="20"/>
                <w:szCs w:val="20"/>
              </w:rPr>
            </w:pPr>
            <w:r>
              <w:rPr>
                <w:color w:val="000000"/>
                <w:sz w:val="20"/>
                <w:szCs w:val="20"/>
              </w:rPr>
              <w:t>Canvas workshops and support for faculty</w:t>
            </w:r>
          </w:p>
          <w:p w14:paraId="27B015FC" w14:textId="77777777" w:rsidR="00C56788" w:rsidRDefault="00C56788" w:rsidP="00CC225E">
            <w:pPr>
              <w:numPr>
                <w:ilvl w:val="0"/>
                <w:numId w:val="13"/>
              </w:numPr>
              <w:pBdr>
                <w:top w:val="nil"/>
                <w:left w:val="nil"/>
                <w:bottom w:val="nil"/>
                <w:right w:val="nil"/>
                <w:between w:val="nil"/>
              </w:pBdr>
              <w:spacing w:after="60"/>
              <w:ind w:left="250" w:hanging="180"/>
              <w:rPr>
                <w:color w:val="000000"/>
                <w:sz w:val="20"/>
                <w:szCs w:val="20"/>
              </w:rPr>
            </w:pPr>
            <w:r>
              <w:rPr>
                <w:color w:val="000000"/>
                <w:sz w:val="20"/>
                <w:szCs w:val="20"/>
              </w:rPr>
              <w:t>Instructional design</w:t>
            </w:r>
          </w:p>
          <w:p w14:paraId="29481FBE" w14:textId="77777777" w:rsidR="00C56788" w:rsidRDefault="00C56788" w:rsidP="00CC225E">
            <w:pPr>
              <w:numPr>
                <w:ilvl w:val="0"/>
                <w:numId w:val="13"/>
              </w:numPr>
              <w:pBdr>
                <w:top w:val="nil"/>
                <w:left w:val="nil"/>
                <w:bottom w:val="nil"/>
                <w:right w:val="nil"/>
                <w:between w:val="nil"/>
              </w:pBdr>
              <w:spacing w:after="60"/>
              <w:ind w:left="250" w:hanging="180"/>
              <w:rPr>
                <w:color w:val="000000"/>
                <w:sz w:val="20"/>
                <w:szCs w:val="20"/>
              </w:rPr>
            </w:pPr>
            <w:r>
              <w:rPr>
                <w:color w:val="000000"/>
                <w:sz w:val="20"/>
                <w:szCs w:val="20"/>
              </w:rPr>
              <w:t>Instructional video capture and production</w:t>
            </w:r>
          </w:p>
          <w:p w14:paraId="4EF68288" w14:textId="77777777" w:rsidR="00C56788" w:rsidRDefault="00C56788" w:rsidP="00CC225E">
            <w:pPr>
              <w:numPr>
                <w:ilvl w:val="0"/>
                <w:numId w:val="13"/>
              </w:numPr>
              <w:pBdr>
                <w:top w:val="nil"/>
                <w:left w:val="nil"/>
                <w:bottom w:val="nil"/>
                <w:right w:val="nil"/>
                <w:between w:val="nil"/>
              </w:pBdr>
              <w:spacing w:after="60"/>
              <w:ind w:left="250" w:hanging="180"/>
              <w:rPr>
                <w:color w:val="000000"/>
                <w:sz w:val="20"/>
                <w:szCs w:val="20"/>
              </w:rPr>
            </w:pPr>
            <w:r>
              <w:rPr>
                <w:color w:val="000000"/>
                <w:sz w:val="20"/>
                <w:szCs w:val="20"/>
              </w:rPr>
              <w:t>Classroom technology design and support</w:t>
            </w:r>
          </w:p>
          <w:p w14:paraId="61FA7252" w14:textId="77777777" w:rsidR="00C56788" w:rsidRDefault="00C56788" w:rsidP="00CC225E">
            <w:pPr>
              <w:numPr>
                <w:ilvl w:val="0"/>
                <w:numId w:val="14"/>
              </w:numPr>
              <w:pBdr>
                <w:top w:val="nil"/>
                <w:left w:val="nil"/>
                <w:bottom w:val="nil"/>
                <w:right w:val="nil"/>
                <w:between w:val="nil"/>
              </w:pBdr>
              <w:spacing w:after="60"/>
              <w:ind w:left="250" w:hanging="180"/>
              <w:rPr>
                <w:color w:val="000000"/>
                <w:sz w:val="20"/>
                <w:szCs w:val="20"/>
              </w:rPr>
            </w:pPr>
            <w:r>
              <w:rPr>
                <w:color w:val="000000"/>
                <w:sz w:val="20"/>
                <w:szCs w:val="20"/>
              </w:rPr>
              <w:t>Technology pilots and special projects</w:t>
            </w:r>
          </w:p>
          <w:p w14:paraId="6000A89A" w14:textId="77777777" w:rsidR="00C56788" w:rsidRDefault="00C56788" w:rsidP="00CC225E">
            <w:pPr>
              <w:spacing w:after="60"/>
              <w:rPr>
                <w:sz w:val="20"/>
                <w:szCs w:val="20"/>
              </w:rPr>
            </w:pPr>
          </w:p>
        </w:tc>
        <w:tc>
          <w:tcPr>
            <w:tcW w:w="3325" w:type="dxa"/>
            <w:shd w:val="clear" w:color="auto" w:fill="auto"/>
          </w:tcPr>
          <w:p w14:paraId="1450FC9B" w14:textId="77777777" w:rsidR="00C56788" w:rsidRDefault="00C56788" w:rsidP="00CC225E">
            <w:pPr>
              <w:numPr>
                <w:ilvl w:val="0"/>
                <w:numId w:val="17"/>
              </w:numPr>
              <w:pBdr>
                <w:top w:val="nil"/>
                <w:left w:val="nil"/>
                <w:bottom w:val="nil"/>
                <w:right w:val="nil"/>
                <w:between w:val="nil"/>
              </w:pBdr>
              <w:shd w:val="clear" w:color="auto" w:fill="FFFFFF"/>
              <w:spacing w:after="60"/>
              <w:ind w:left="250" w:hanging="180"/>
              <w:rPr>
                <w:color w:val="333333"/>
                <w:sz w:val="20"/>
                <w:szCs w:val="20"/>
              </w:rPr>
            </w:pPr>
            <w:r>
              <w:rPr>
                <w:color w:val="333333"/>
                <w:sz w:val="20"/>
                <w:szCs w:val="20"/>
              </w:rPr>
              <w:t>Tracking Canvas adoption/use by school &amp; departments</w:t>
            </w:r>
          </w:p>
          <w:p w14:paraId="01F785ED" w14:textId="77777777" w:rsidR="00C56788" w:rsidRDefault="00C56788" w:rsidP="00CC225E">
            <w:pPr>
              <w:numPr>
                <w:ilvl w:val="0"/>
                <w:numId w:val="17"/>
              </w:numPr>
              <w:pBdr>
                <w:top w:val="nil"/>
                <w:left w:val="nil"/>
                <w:bottom w:val="nil"/>
                <w:right w:val="nil"/>
                <w:between w:val="nil"/>
              </w:pBdr>
              <w:shd w:val="clear" w:color="auto" w:fill="FFFFFF"/>
              <w:spacing w:after="60"/>
              <w:ind w:left="250" w:hanging="180"/>
              <w:rPr>
                <w:color w:val="333333"/>
                <w:sz w:val="20"/>
                <w:szCs w:val="20"/>
              </w:rPr>
            </w:pPr>
            <w:r>
              <w:rPr>
                <w:color w:val="333333"/>
                <w:sz w:val="20"/>
                <w:szCs w:val="20"/>
              </w:rPr>
              <w:t>Creation of new online courses &amp; trained faculty</w:t>
            </w:r>
          </w:p>
          <w:p w14:paraId="0FD990BE" w14:textId="77777777" w:rsidR="00C56788" w:rsidRDefault="00C56788" w:rsidP="00CC225E">
            <w:pPr>
              <w:numPr>
                <w:ilvl w:val="0"/>
                <w:numId w:val="17"/>
              </w:numPr>
              <w:pBdr>
                <w:top w:val="nil"/>
                <w:left w:val="nil"/>
                <w:bottom w:val="nil"/>
                <w:right w:val="nil"/>
                <w:between w:val="nil"/>
              </w:pBdr>
              <w:shd w:val="clear" w:color="auto" w:fill="FFFFFF"/>
              <w:spacing w:after="60"/>
              <w:ind w:left="250" w:hanging="180"/>
              <w:rPr>
                <w:color w:val="333333"/>
                <w:sz w:val="20"/>
                <w:szCs w:val="20"/>
              </w:rPr>
            </w:pPr>
            <w:r>
              <w:rPr>
                <w:color w:val="333333"/>
                <w:sz w:val="20"/>
                <w:szCs w:val="20"/>
              </w:rPr>
              <w:t>Foot-traffic for CTET drop-in support</w:t>
            </w:r>
          </w:p>
          <w:p w14:paraId="289292FB" w14:textId="77777777" w:rsidR="00C56788" w:rsidRDefault="00C56788" w:rsidP="00CC225E">
            <w:pPr>
              <w:numPr>
                <w:ilvl w:val="0"/>
                <w:numId w:val="17"/>
              </w:numPr>
              <w:pBdr>
                <w:top w:val="nil"/>
                <w:left w:val="nil"/>
                <w:bottom w:val="nil"/>
                <w:right w:val="nil"/>
                <w:between w:val="nil"/>
              </w:pBdr>
              <w:shd w:val="clear" w:color="auto" w:fill="FFFFFF"/>
              <w:spacing w:after="60"/>
              <w:ind w:left="250" w:hanging="180"/>
              <w:rPr>
                <w:color w:val="333333"/>
                <w:sz w:val="20"/>
                <w:szCs w:val="20"/>
              </w:rPr>
            </w:pPr>
            <w:r>
              <w:rPr>
                <w:color w:val="333333"/>
                <w:sz w:val="20"/>
                <w:szCs w:val="20"/>
              </w:rPr>
              <w:t>Faculty participation in CTET sponsored programs</w:t>
            </w:r>
          </w:p>
          <w:p w14:paraId="1A1D7C61" w14:textId="77777777" w:rsidR="00C56788" w:rsidRDefault="00C56788" w:rsidP="00CC225E">
            <w:pPr>
              <w:numPr>
                <w:ilvl w:val="0"/>
                <w:numId w:val="17"/>
              </w:numPr>
              <w:pBdr>
                <w:top w:val="nil"/>
                <w:left w:val="nil"/>
                <w:bottom w:val="nil"/>
                <w:right w:val="nil"/>
                <w:between w:val="nil"/>
              </w:pBdr>
              <w:shd w:val="clear" w:color="auto" w:fill="FFFFFF"/>
              <w:spacing w:after="60"/>
              <w:ind w:left="250" w:hanging="180"/>
              <w:rPr>
                <w:color w:val="333333"/>
                <w:sz w:val="20"/>
                <w:szCs w:val="20"/>
              </w:rPr>
            </w:pPr>
            <w:r>
              <w:rPr>
                <w:color w:val="333333"/>
                <w:sz w:val="20"/>
                <w:szCs w:val="20"/>
              </w:rPr>
              <w:t>Dashboards on classroom renovation progress</w:t>
            </w:r>
          </w:p>
        </w:tc>
      </w:tr>
    </w:tbl>
    <w:p w14:paraId="4BACA35D" w14:textId="77777777" w:rsidR="00C56788" w:rsidRDefault="00C56788" w:rsidP="00401166">
      <w:pPr>
        <w:spacing w:after="0" w:line="240" w:lineRule="auto"/>
        <w:ind w:firstLine="720"/>
      </w:pPr>
    </w:p>
    <w:p w14:paraId="39040439" w14:textId="018F2AE3" w:rsidR="00C56788" w:rsidRDefault="00C56788" w:rsidP="00C56788">
      <w:pPr>
        <w:spacing w:after="0" w:line="480" w:lineRule="auto"/>
        <w:ind w:firstLine="720"/>
      </w:pPr>
      <w:r>
        <w:lastRenderedPageBreak/>
        <w:t>CTET has achieved many goals from its strategic plan, in service to the university’s strategic priorities, mission, and vision.</w:t>
      </w:r>
      <w:r w:rsidR="00661CEC">
        <w:t xml:space="preserve"> </w:t>
      </w:r>
      <w:r>
        <w:t>Key points of progress include:</w:t>
      </w:r>
    </w:p>
    <w:p w14:paraId="6A22C596" w14:textId="77777777"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Developed online course redesign materials</w:t>
      </w:r>
    </w:p>
    <w:p w14:paraId="53030540" w14:textId="77777777"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Began addressing recommendations from the CSU’s Accessible Technology Initiative Audit including:</w:t>
      </w:r>
    </w:p>
    <w:p w14:paraId="35ED4875" w14:textId="77777777" w:rsidR="00C56788" w:rsidRDefault="00C56788" w:rsidP="00DA5365">
      <w:pPr>
        <w:numPr>
          <w:ilvl w:val="1"/>
          <w:numId w:val="20"/>
        </w:numPr>
        <w:pBdr>
          <w:top w:val="nil"/>
          <w:left w:val="nil"/>
          <w:bottom w:val="nil"/>
          <w:right w:val="nil"/>
          <w:between w:val="nil"/>
        </w:pBdr>
        <w:spacing w:after="0"/>
        <w:ind w:left="1800"/>
        <w:rPr>
          <w:color w:val="000000"/>
        </w:rPr>
      </w:pPr>
      <w:r>
        <w:rPr>
          <w:color w:val="000000"/>
        </w:rPr>
        <w:t xml:space="preserve">Launched </w:t>
      </w:r>
      <w:proofErr w:type="spellStart"/>
      <w:r>
        <w:rPr>
          <w:color w:val="000000"/>
        </w:rPr>
        <w:t>YuJa</w:t>
      </w:r>
      <w:proofErr w:type="spellEnd"/>
      <w:r>
        <w:rPr>
          <w:color w:val="000000"/>
        </w:rPr>
        <w:t xml:space="preserve"> video software to support online teaching and accessibility standards (via captioning capability)</w:t>
      </w:r>
    </w:p>
    <w:p w14:paraId="6B019308" w14:textId="77777777" w:rsidR="00C56788" w:rsidRDefault="00C56788" w:rsidP="00DA5365">
      <w:pPr>
        <w:numPr>
          <w:ilvl w:val="1"/>
          <w:numId w:val="20"/>
        </w:numPr>
        <w:pBdr>
          <w:top w:val="nil"/>
          <w:left w:val="nil"/>
          <w:bottom w:val="nil"/>
          <w:right w:val="nil"/>
          <w:between w:val="nil"/>
        </w:pBdr>
        <w:spacing w:after="0"/>
        <w:ind w:left="1800"/>
        <w:rPr>
          <w:color w:val="000000"/>
        </w:rPr>
      </w:pPr>
      <w:r>
        <w:rPr>
          <w:color w:val="000000"/>
        </w:rPr>
        <w:t>Launched Ally software to help faculty determine the accessibility of online course materials</w:t>
      </w:r>
    </w:p>
    <w:p w14:paraId="367294A4" w14:textId="77777777" w:rsidR="00C56788" w:rsidRDefault="00C56788" w:rsidP="00DA5365">
      <w:pPr>
        <w:numPr>
          <w:ilvl w:val="1"/>
          <w:numId w:val="20"/>
        </w:numPr>
        <w:pBdr>
          <w:top w:val="nil"/>
          <w:left w:val="nil"/>
          <w:bottom w:val="nil"/>
          <w:right w:val="nil"/>
          <w:between w:val="nil"/>
        </w:pBdr>
        <w:spacing w:after="0"/>
        <w:ind w:left="1800"/>
        <w:rPr>
          <w:color w:val="000000"/>
        </w:rPr>
      </w:pPr>
      <w:r>
        <w:rPr>
          <w:color w:val="000000"/>
        </w:rPr>
        <w:t xml:space="preserve">Hired two student assistants to work with Ally pilot </w:t>
      </w:r>
    </w:p>
    <w:p w14:paraId="64BD1F6F" w14:textId="77777777"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Completed transition of the campus learning management system from Moodle to Canvas</w:t>
      </w:r>
    </w:p>
    <w:p w14:paraId="466BC695" w14:textId="34441651"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 xml:space="preserve">Delivered the </w:t>
      </w:r>
      <w:r w:rsidR="00F745AB">
        <w:rPr>
          <w:color w:val="000000"/>
        </w:rPr>
        <w:t xml:space="preserve">online </w:t>
      </w:r>
      <w:r>
        <w:rPr>
          <w:color w:val="000000"/>
        </w:rPr>
        <w:t xml:space="preserve">and </w:t>
      </w:r>
      <w:r w:rsidR="00F745AB">
        <w:rPr>
          <w:color w:val="000000"/>
        </w:rPr>
        <w:t xml:space="preserve">blended teaching excellence </w:t>
      </w:r>
      <w:r>
        <w:rPr>
          <w:color w:val="000000"/>
        </w:rPr>
        <w:t xml:space="preserve">program to over 50 faculty during </w:t>
      </w:r>
      <w:r w:rsidR="00390AEB">
        <w:rPr>
          <w:color w:val="000000"/>
        </w:rPr>
        <w:t>s</w:t>
      </w:r>
      <w:r>
        <w:rPr>
          <w:color w:val="000000"/>
        </w:rPr>
        <w:t>pring 2020</w:t>
      </w:r>
    </w:p>
    <w:p w14:paraId="2FAE1321" w14:textId="5FA312B1"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 xml:space="preserve">Trained over half of the campus faculty in best practices for Canvas-based online teaching through </w:t>
      </w:r>
      <w:r w:rsidR="00390AEB">
        <w:rPr>
          <w:color w:val="000000"/>
        </w:rPr>
        <w:t>s</w:t>
      </w:r>
      <w:r>
        <w:rPr>
          <w:color w:val="000000"/>
        </w:rPr>
        <w:t xml:space="preserve">pring workshops and consultations and Summer 2020 programming (including the </w:t>
      </w:r>
      <w:r w:rsidR="00F745AB">
        <w:rPr>
          <w:color w:val="000000"/>
        </w:rPr>
        <w:t xml:space="preserve">summer </w:t>
      </w:r>
      <w:r>
        <w:rPr>
          <w:color w:val="000000"/>
        </w:rPr>
        <w:t xml:space="preserve">Canvas </w:t>
      </w:r>
      <w:r w:rsidR="002F088A">
        <w:rPr>
          <w:color w:val="000000"/>
        </w:rPr>
        <w:t>i</w:t>
      </w:r>
      <w:r w:rsidR="00F745AB">
        <w:rPr>
          <w:color w:val="000000"/>
        </w:rPr>
        <w:t xml:space="preserve">nstitute </w:t>
      </w:r>
      <w:r>
        <w:rPr>
          <w:color w:val="000000"/>
        </w:rPr>
        <w:t>which 153 faculty completed in the “live” format and another 50 completed in the self-paced format)</w:t>
      </w:r>
    </w:p>
    <w:p w14:paraId="44209A07" w14:textId="001B952D" w:rsidR="00C56788" w:rsidRPr="00437E8C" w:rsidRDefault="00C56788" w:rsidP="00DA5365">
      <w:pPr>
        <w:numPr>
          <w:ilvl w:val="0"/>
          <w:numId w:val="20"/>
        </w:numPr>
        <w:pBdr>
          <w:top w:val="nil"/>
          <w:left w:val="nil"/>
          <w:bottom w:val="nil"/>
          <w:right w:val="nil"/>
          <w:between w:val="nil"/>
        </w:pBdr>
        <w:spacing w:after="0"/>
        <w:ind w:left="1080"/>
        <w:rPr>
          <w:color w:val="000000"/>
        </w:rPr>
      </w:pPr>
      <w:r w:rsidRPr="00437E8C">
        <w:rPr>
          <w:color w:val="000000"/>
        </w:rPr>
        <w:t xml:space="preserve">Continued collaboration with IT, as </w:t>
      </w:r>
      <w:r w:rsidRPr="007647D8">
        <w:rPr>
          <w:color w:val="000000" w:themeColor="text1"/>
        </w:rPr>
        <w:t xml:space="preserve">all </w:t>
      </w:r>
      <w:r w:rsidRPr="00437E8C">
        <w:rPr>
          <w:color w:val="000000"/>
        </w:rPr>
        <w:t>CTET projects are submitted to ITAG for review and feedback</w:t>
      </w:r>
      <w:r>
        <w:rPr>
          <w:color w:val="000000"/>
        </w:rPr>
        <w:t xml:space="preserve"> (and are verified for alignment with the strategic plan)</w:t>
      </w:r>
      <w:r w:rsidRPr="00437E8C">
        <w:rPr>
          <w:color w:val="000000"/>
        </w:rPr>
        <w:t>.</w:t>
      </w:r>
      <w:r w:rsidR="00661CEC">
        <w:rPr>
          <w:color w:val="000000"/>
        </w:rPr>
        <w:t xml:space="preserve"> </w:t>
      </w:r>
      <w:r w:rsidRPr="00437E8C">
        <w:rPr>
          <w:color w:val="000000"/>
        </w:rPr>
        <w:t xml:space="preserve">For example, </w:t>
      </w:r>
      <w:r w:rsidRPr="00437E8C">
        <w:rPr>
          <w:rFonts w:eastAsia="Arial"/>
          <w:color w:val="000000"/>
        </w:rPr>
        <w:t xml:space="preserve">ITAG prioritized implementation of </w:t>
      </w:r>
      <w:proofErr w:type="spellStart"/>
      <w:r w:rsidRPr="00437E8C">
        <w:rPr>
          <w:rFonts w:eastAsia="Arial"/>
          <w:color w:val="000000"/>
        </w:rPr>
        <w:t>YuJa</w:t>
      </w:r>
      <w:proofErr w:type="spellEnd"/>
      <w:r w:rsidRPr="00437E8C">
        <w:rPr>
          <w:rFonts w:eastAsia="Arial"/>
          <w:color w:val="000000"/>
        </w:rPr>
        <w:t xml:space="preserve"> and Ally as a high-priority project for IT.</w:t>
      </w:r>
    </w:p>
    <w:p w14:paraId="31C1CB7F" w14:textId="77777777" w:rsidR="00C56788" w:rsidRDefault="00C56788" w:rsidP="00DA5365">
      <w:pPr>
        <w:numPr>
          <w:ilvl w:val="0"/>
          <w:numId w:val="20"/>
        </w:numPr>
        <w:pBdr>
          <w:top w:val="nil"/>
          <w:left w:val="nil"/>
          <w:bottom w:val="nil"/>
          <w:right w:val="nil"/>
          <w:between w:val="nil"/>
        </w:pBdr>
        <w:spacing w:after="0"/>
        <w:ind w:left="1080"/>
        <w:rPr>
          <w:color w:val="000000"/>
        </w:rPr>
      </w:pPr>
      <w:r>
        <w:rPr>
          <w:color w:val="000000"/>
        </w:rPr>
        <w:t>Continued affordable learning project to reduce costs for students</w:t>
      </w:r>
    </w:p>
    <w:p w14:paraId="72A88F84" w14:textId="12036AB1" w:rsidR="00C56788" w:rsidRPr="007506CD" w:rsidRDefault="00C56788" w:rsidP="00DA5365">
      <w:pPr>
        <w:numPr>
          <w:ilvl w:val="0"/>
          <w:numId w:val="20"/>
        </w:numPr>
        <w:pBdr>
          <w:top w:val="nil"/>
          <w:left w:val="nil"/>
          <w:bottom w:val="nil"/>
          <w:right w:val="nil"/>
          <w:between w:val="nil"/>
        </w:pBdr>
        <w:spacing w:after="0"/>
        <w:ind w:left="1080"/>
        <w:rPr>
          <w:color w:val="000000"/>
        </w:rPr>
      </w:pPr>
      <w:r w:rsidRPr="007506CD">
        <w:rPr>
          <w:color w:val="000000"/>
        </w:rPr>
        <w:t xml:space="preserve">Expanded faculty participation in teaching and learning training in every </w:t>
      </w:r>
      <w:r w:rsidR="00F745AB">
        <w:rPr>
          <w:color w:val="000000"/>
        </w:rPr>
        <w:t>s</w:t>
      </w:r>
      <w:r w:rsidR="00F745AB" w:rsidRPr="007506CD">
        <w:rPr>
          <w:color w:val="000000"/>
        </w:rPr>
        <w:t xml:space="preserve">chool </w:t>
      </w:r>
      <w:r w:rsidRPr="007506CD">
        <w:rPr>
          <w:color w:val="000000"/>
        </w:rPr>
        <w:t xml:space="preserve">in the university, and </w:t>
      </w:r>
      <w:r>
        <w:rPr>
          <w:color w:val="000000"/>
        </w:rPr>
        <w:t>s</w:t>
      </w:r>
      <w:r w:rsidRPr="007506CD">
        <w:rPr>
          <w:color w:val="000000"/>
        </w:rPr>
        <w:t xml:space="preserve">upported a huge increase in faculty need for teaching and learning assistance </w:t>
      </w:r>
      <w:r>
        <w:rPr>
          <w:color w:val="000000"/>
        </w:rPr>
        <w:t xml:space="preserve">overall </w:t>
      </w:r>
      <w:r w:rsidRPr="007506CD">
        <w:rPr>
          <w:color w:val="000000"/>
        </w:rPr>
        <w:t>as shown in the following chart</w:t>
      </w:r>
      <w:r>
        <w:rPr>
          <w:color w:val="000000"/>
        </w:rPr>
        <w:t xml:space="preserve">: </w:t>
      </w:r>
    </w:p>
    <w:p w14:paraId="4796A6A0" w14:textId="77777777" w:rsidR="00C56788" w:rsidRDefault="00C56788" w:rsidP="00C56788"/>
    <w:p w14:paraId="798322B6" w14:textId="77777777" w:rsidR="00C56788" w:rsidRDefault="00C56788" w:rsidP="00C56788">
      <w:pPr>
        <w:pBdr>
          <w:top w:val="nil"/>
          <w:left w:val="nil"/>
          <w:bottom w:val="nil"/>
          <w:right w:val="nil"/>
          <w:between w:val="nil"/>
        </w:pBdr>
        <w:ind w:left="720"/>
        <w:rPr>
          <w:color w:val="000000"/>
        </w:rPr>
      </w:pPr>
      <w:r>
        <w:rPr>
          <w:noProof/>
        </w:rPr>
        <w:drawing>
          <wp:inline distT="0" distB="0" distL="0" distR="0" wp14:anchorId="33C38F09" wp14:editId="282A7F12">
            <wp:extent cx="4356100" cy="3025775"/>
            <wp:effectExtent l="0" t="0" r="6350" b="3175"/>
            <wp:docPr id="7" name="Chart 7" descr="A graph showing the faculty served by CTET in the 2019-2020 academic year increasing in in the spring semes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6D7911C" w14:textId="77777777" w:rsidR="00C56788" w:rsidRDefault="00C56788" w:rsidP="00C56788">
      <w:pPr>
        <w:rPr>
          <w:b/>
          <w:u w:val="single"/>
        </w:rPr>
      </w:pPr>
    </w:p>
    <w:p w14:paraId="06E6B5B8" w14:textId="45365E94" w:rsidR="00C56788" w:rsidRDefault="00695946" w:rsidP="0053401A">
      <w:pPr>
        <w:pStyle w:val="Heading2"/>
      </w:pPr>
      <w:r w:rsidRPr="0080225E">
        <w:t>Response to COVID</w:t>
      </w:r>
    </w:p>
    <w:p w14:paraId="51D72F8D" w14:textId="77777777" w:rsidR="0053401A" w:rsidRPr="0053401A" w:rsidRDefault="0053401A" w:rsidP="0053401A"/>
    <w:p w14:paraId="7D7761EA" w14:textId="22364CCE" w:rsidR="00695946" w:rsidRDefault="00695946" w:rsidP="0080225E">
      <w:pPr>
        <w:spacing w:line="480" w:lineRule="auto"/>
        <w:rPr>
          <w:b/>
          <w:sz w:val="36"/>
          <w:szCs w:val="32"/>
        </w:rPr>
      </w:pPr>
      <w:r>
        <w:rPr>
          <w:b/>
          <w:sz w:val="28"/>
          <w:szCs w:val="28"/>
        </w:rPr>
        <w:tab/>
      </w:r>
      <w:r w:rsidR="00C74893">
        <w:rPr>
          <w:sz w:val="24"/>
          <w:szCs w:val="24"/>
        </w:rPr>
        <w:t xml:space="preserve">In </w:t>
      </w:r>
      <w:r w:rsidR="00390AEB">
        <w:rPr>
          <w:sz w:val="24"/>
          <w:szCs w:val="24"/>
        </w:rPr>
        <w:t>s</w:t>
      </w:r>
      <w:r w:rsidR="00C74893">
        <w:rPr>
          <w:sz w:val="24"/>
          <w:szCs w:val="24"/>
        </w:rPr>
        <w:t xml:space="preserve">pring 2020, when </w:t>
      </w:r>
      <w:r w:rsidR="00F745AB">
        <w:rPr>
          <w:sz w:val="24"/>
          <w:szCs w:val="24"/>
        </w:rPr>
        <w:t>SSU</w:t>
      </w:r>
      <w:r w:rsidR="00C74893">
        <w:rPr>
          <w:sz w:val="24"/>
          <w:szCs w:val="24"/>
        </w:rPr>
        <w:t xml:space="preserve"> moved to remote instruction to deal with the public health guidelines for COVID, and during </w:t>
      </w:r>
      <w:r w:rsidR="00841753">
        <w:rPr>
          <w:sz w:val="24"/>
          <w:szCs w:val="24"/>
        </w:rPr>
        <w:t>fall</w:t>
      </w:r>
      <w:r w:rsidR="00C74893">
        <w:rPr>
          <w:sz w:val="24"/>
          <w:szCs w:val="24"/>
        </w:rPr>
        <w:t xml:space="preserve"> 2020</w:t>
      </w:r>
      <w:r w:rsidR="00C95D93">
        <w:rPr>
          <w:sz w:val="24"/>
          <w:szCs w:val="24"/>
        </w:rPr>
        <w:t xml:space="preserve"> when</w:t>
      </w:r>
      <w:r w:rsidR="0080225E">
        <w:rPr>
          <w:sz w:val="24"/>
          <w:szCs w:val="24"/>
        </w:rPr>
        <w:t xml:space="preserve"> we implemented a plan approved by the CSU </w:t>
      </w:r>
      <w:r w:rsidR="00F745AB">
        <w:rPr>
          <w:sz w:val="24"/>
          <w:szCs w:val="24"/>
        </w:rPr>
        <w:t xml:space="preserve">chancellor’s office </w:t>
      </w:r>
      <w:r w:rsidR="0080225E">
        <w:rPr>
          <w:sz w:val="24"/>
          <w:szCs w:val="24"/>
        </w:rPr>
        <w:t xml:space="preserve">to be primarily remote, IT and CTET, as well as the </w:t>
      </w:r>
      <w:r w:rsidR="00F745AB">
        <w:rPr>
          <w:sz w:val="24"/>
          <w:szCs w:val="24"/>
        </w:rPr>
        <w:t>university library</w:t>
      </w:r>
      <w:r w:rsidR="0080225E">
        <w:rPr>
          <w:sz w:val="24"/>
          <w:szCs w:val="24"/>
        </w:rPr>
        <w:t xml:space="preserve">, took on the responsibility to purchase, prepare, and distribute laptops and hotspots to students most in need through the </w:t>
      </w:r>
      <w:proofErr w:type="spellStart"/>
      <w:r w:rsidR="002F088A">
        <w:rPr>
          <w:sz w:val="24"/>
          <w:szCs w:val="24"/>
        </w:rPr>
        <w:t>s</w:t>
      </w:r>
      <w:r w:rsidR="0080225E">
        <w:rPr>
          <w:sz w:val="24"/>
          <w:szCs w:val="24"/>
        </w:rPr>
        <w:t>eawolf</w:t>
      </w:r>
      <w:proofErr w:type="spellEnd"/>
      <w:r w:rsidR="0080225E">
        <w:rPr>
          <w:sz w:val="24"/>
          <w:szCs w:val="24"/>
        </w:rPr>
        <w:t xml:space="preserve"> </w:t>
      </w:r>
      <w:r w:rsidR="002F088A">
        <w:rPr>
          <w:sz w:val="24"/>
          <w:szCs w:val="24"/>
        </w:rPr>
        <w:t>i</w:t>
      </w:r>
      <w:r w:rsidR="0080225E">
        <w:rPr>
          <w:sz w:val="24"/>
          <w:szCs w:val="24"/>
        </w:rPr>
        <w:t xml:space="preserve">nitiative for </w:t>
      </w:r>
      <w:r w:rsidR="002F088A">
        <w:rPr>
          <w:sz w:val="24"/>
          <w:szCs w:val="24"/>
        </w:rPr>
        <w:t>t</w:t>
      </w:r>
      <w:r w:rsidR="0080225E">
        <w:rPr>
          <w:sz w:val="24"/>
          <w:szCs w:val="24"/>
        </w:rPr>
        <w:t xml:space="preserve">echnology </w:t>
      </w:r>
      <w:r w:rsidR="002F088A">
        <w:rPr>
          <w:sz w:val="24"/>
          <w:szCs w:val="24"/>
        </w:rPr>
        <w:t>e</w:t>
      </w:r>
      <w:r w:rsidR="0080225E">
        <w:rPr>
          <w:sz w:val="24"/>
          <w:szCs w:val="24"/>
        </w:rPr>
        <w:t>quity (SITE) that</w:t>
      </w:r>
      <w:r w:rsidR="00C95D93">
        <w:rPr>
          <w:sz w:val="24"/>
          <w:szCs w:val="24"/>
        </w:rPr>
        <w:t xml:space="preserve"> </w:t>
      </w:r>
      <w:r>
        <w:t xml:space="preserve">has helped hundreds of students stay enrolled and complete classes through enhanced student technology support. </w:t>
      </w:r>
      <w:r w:rsidR="0080225E">
        <w:t>In addition, CTET, as noted above, provided faculty development to assist faculty with learning how to teach online</w:t>
      </w:r>
      <w:r w:rsidR="003B22CB">
        <w:t xml:space="preserve"> (see </w:t>
      </w:r>
      <w:r w:rsidR="003B22CB" w:rsidRPr="00411167">
        <w:t>appendix 5</w:t>
      </w:r>
      <w:r w:rsidR="003B22CB">
        <w:t xml:space="preserve"> for a link to CTET’s “teaching through disruptions” website)</w:t>
      </w:r>
      <w:r w:rsidR="0080225E">
        <w:t xml:space="preserve">. Since coursework had been more than 95% face-to-face before the pandemic, these information technology and academic technology efforts represent a monumental change for the institution that was only possible with the infrastructure improvements these units made over the last three years. </w:t>
      </w:r>
    </w:p>
    <w:p w14:paraId="42D49853" w14:textId="77777777" w:rsidR="00CC225E" w:rsidRDefault="00CC225E">
      <w:pPr>
        <w:rPr>
          <w:b/>
          <w:sz w:val="36"/>
          <w:szCs w:val="32"/>
        </w:rPr>
      </w:pPr>
      <w:r>
        <w:rPr>
          <w:b/>
          <w:sz w:val="36"/>
          <w:szCs w:val="32"/>
        </w:rPr>
        <w:br w:type="page"/>
      </w:r>
    </w:p>
    <w:p w14:paraId="5ED98DA8" w14:textId="4748219E" w:rsidR="00D73797" w:rsidRPr="00FF6EE9" w:rsidRDefault="00D73797" w:rsidP="0053401A">
      <w:pPr>
        <w:pStyle w:val="Heading1"/>
        <w:jc w:val="center"/>
      </w:pPr>
      <w:r w:rsidRPr="00FF6EE9">
        <w:lastRenderedPageBreak/>
        <w:t>SSU’s Follow-up Response to Recommendation #6</w:t>
      </w:r>
    </w:p>
    <w:p w14:paraId="5B1C469D" w14:textId="77777777" w:rsidR="00D73797" w:rsidRPr="0053401A" w:rsidRDefault="00D73797" w:rsidP="00D73797">
      <w:pPr>
        <w:spacing w:after="0"/>
        <w:jc w:val="center"/>
        <w:rPr>
          <w:rStyle w:val="Emphasis"/>
        </w:rPr>
      </w:pPr>
      <w:r w:rsidRPr="0053401A">
        <w:rPr>
          <w:rStyle w:val="Emphasis"/>
        </w:rPr>
        <w:t>[Creating and implementing a comprehensive diversity plan. (CFR 1.4)]</w:t>
      </w:r>
    </w:p>
    <w:p w14:paraId="74F02DB2" w14:textId="5EFF9759" w:rsidR="0005474F" w:rsidRPr="0005474F" w:rsidRDefault="0005474F" w:rsidP="00D73797">
      <w:pPr>
        <w:rPr>
          <w:rFonts w:cstheme="minorHAnsi"/>
          <w:bCs/>
          <w:iCs/>
        </w:rPr>
      </w:pPr>
    </w:p>
    <w:p w14:paraId="0802E3F9" w14:textId="17B357EF" w:rsidR="00D73797" w:rsidRPr="0005474F" w:rsidRDefault="00D73797" w:rsidP="00D73797">
      <w:pPr>
        <w:spacing w:line="480" w:lineRule="auto"/>
        <w:ind w:firstLine="720"/>
        <w:contextualSpacing/>
        <w:rPr>
          <w:rFonts w:cstheme="minorHAnsi"/>
          <w:bCs/>
          <w:color w:val="000000" w:themeColor="text1"/>
        </w:rPr>
      </w:pPr>
      <w:r w:rsidRPr="0005474F">
        <w:rPr>
          <w:rFonts w:cstheme="minorHAnsi"/>
          <w:bCs/>
          <w:color w:val="000000" w:themeColor="text1"/>
        </w:rPr>
        <w:t xml:space="preserve">The 2017 </w:t>
      </w:r>
      <w:r w:rsidR="00C84197" w:rsidRPr="0005474F">
        <w:rPr>
          <w:rFonts w:cstheme="minorHAnsi"/>
          <w:bCs/>
          <w:color w:val="000000" w:themeColor="text1"/>
        </w:rPr>
        <w:t>W</w:t>
      </w:r>
      <w:r w:rsidR="00C84197">
        <w:rPr>
          <w:rFonts w:cstheme="minorHAnsi"/>
          <w:bCs/>
          <w:color w:val="000000" w:themeColor="text1"/>
        </w:rPr>
        <w:t>SCUC</w:t>
      </w:r>
      <w:r w:rsidR="00C84197" w:rsidRPr="0005474F">
        <w:rPr>
          <w:rFonts w:cstheme="minorHAnsi"/>
          <w:bCs/>
          <w:color w:val="000000" w:themeColor="text1"/>
        </w:rPr>
        <w:t xml:space="preserve"> </w:t>
      </w:r>
      <w:r w:rsidRPr="0005474F">
        <w:rPr>
          <w:rFonts w:cstheme="minorHAnsi"/>
          <w:bCs/>
          <w:color w:val="000000" w:themeColor="text1"/>
        </w:rPr>
        <w:t xml:space="preserve">reaccreditation report lauded the </w:t>
      </w:r>
      <w:r w:rsidR="002F088A">
        <w:rPr>
          <w:rFonts w:cstheme="minorHAnsi"/>
          <w:bCs/>
          <w:color w:val="000000" w:themeColor="text1"/>
        </w:rPr>
        <w:t>u</w:t>
      </w:r>
      <w:r w:rsidR="002F088A" w:rsidRPr="0005474F">
        <w:rPr>
          <w:rFonts w:cstheme="minorHAnsi"/>
          <w:bCs/>
          <w:color w:val="000000" w:themeColor="text1"/>
        </w:rPr>
        <w:t xml:space="preserve">niversity </w:t>
      </w:r>
      <w:r w:rsidRPr="0005474F">
        <w:rPr>
          <w:rFonts w:cstheme="minorHAnsi"/>
          <w:bCs/>
          <w:color w:val="000000" w:themeColor="text1"/>
        </w:rPr>
        <w:t xml:space="preserve">for its recent work in addressing diversity issues while tasking SSU to develop a diversity plan, elements of which could be developed in strategic conversations as SSU concludes its strategic planning and then embedded in the final product. </w:t>
      </w:r>
    </w:p>
    <w:p w14:paraId="71F06BA5" w14:textId="37C1501F" w:rsidR="00D73797" w:rsidRDefault="00D73797" w:rsidP="0053401A">
      <w:pPr>
        <w:pStyle w:val="Heading2"/>
      </w:pPr>
      <w:r w:rsidRPr="0005474F">
        <w:t>Responding to the Increasing Diversity in Society</w:t>
      </w:r>
    </w:p>
    <w:p w14:paraId="0E2B91A7" w14:textId="77777777" w:rsidR="0053401A" w:rsidRPr="0053401A" w:rsidRDefault="0053401A" w:rsidP="0053401A"/>
    <w:p w14:paraId="2F5E8EE1" w14:textId="1CB4B26E" w:rsidR="00D73797" w:rsidRPr="0005474F" w:rsidRDefault="00D73797" w:rsidP="00D73797">
      <w:pPr>
        <w:spacing w:after="0" w:line="480" w:lineRule="auto"/>
        <w:ind w:firstLine="720"/>
        <w:contextualSpacing/>
        <w:rPr>
          <w:rFonts w:cstheme="minorHAnsi"/>
          <w:color w:val="000000" w:themeColor="text1"/>
        </w:rPr>
      </w:pPr>
      <w:r w:rsidRPr="0005474F">
        <w:rPr>
          <w:rFonts w:cstheme="minorHAnsi"/>
          <w:color w:val="000000" w:themeColor="text1"/>
        </w:rPr>
        <w:t>Sonoma State University’s commitment to diversity, equity, and inclusion (DEI) has been part of campus culture since its inception (</w:t>
      </w:r>
      <w:r w:rsidR="002F088A">
        <w:rPr>
          <w:rFonts w:cstheme="minorHAnsi"/>
          <w:color w:val="000000" w:themeColor="text1"/>
        </w:rPr>
        <w:t>s</w:t>
      </w:r>
      <w:r w:rsidR="002F088A" w:rsidRPr="0005474F">
        <w:rPr>
          <w:rFonts w:cstheme="minorHAnsi"/>
          <w:color w:val="000000" w:themeColor="text1"/>
        </w:rPr>
        <w:t xml:space="preserve">ee </w:t>
      </w:r>
      <w:r w:rsidR="00F745AB" w:rsidRPr="00411167">
        <w:rPr>
          <w:rFonts w:cstheme="minorHAnsi"/>
        </w:rPr>
        <w:t>a</w:t>
      </w:r>
      <w:r w:rsidR="00DB2390" w:rsidRPr="00411167">
        <w:rPr>
          <w:rFonts w:cstheme="minorHAnsi"/>
        </w:rPr>
        <w:t>ppendix</w:t>
      </w:r>
      <w:r w:rsidRPr="00411167">
        <w:rPr>
          <w:rFonts w:cstheme="minorHAnsi"/>
        </w:rPr>
        <w:t xml:space="preserve"> 6</w:t>
      </w:r>
      <w:r w:rsidRPr="0005474F">
        <w:rPr>
          <w:rFonts w:cstheme="minorHAnsi"/>
          <w:color w:val="000000" w:themeColor="text1"/>
        </w:rPr>
        <w:t xml:space="preserve"> for definitions of basic terms</w:t>
      </w:r>
      <w:r w:rsidR="00FB6559">
        <w:rPr>
          <w:rFonts w:cstheme="minorHAnsi"/>
          <w:color w:val="000000" w:themeColor="text1"/>
        </w:rPr>
        <w:t xml:space="preserve"> and a general timeline of SSU’s diversity efforts</w:t>
      </w:r>
      <w:r w:rsidRPr="0005474F">
        <w:rPr>
          <w:rFonts w:cstheme="minorHAnsi"/>
          <w:color w:val="000000" w:themeColor="text1"/>
        </w:rPr>
        <w:t xml:space="preserve">). Every evolutionary </w:t>
      </w:r>
      <w:r w:rsidR="009E4B2E">
        <w:rPr>
          <w:rFonts w:cstheme="minorHAnsi"/>
          <w:color w:val="000000" w:themeColor="text1"/>
        </w:rPr>
        <w:t xml:space="preserve">and </w:t>
      </w:r>
      <w:r w:rsidR="009E4B2E" w:rsidRPr="0005474F">
        <w:rPr>
          <w:rFonts w:cstheme="minorHAnsi"/>
          <w:color w:val="000000" w:themeColor="text1"/>
        </w:rPr>
        <w:t>innovat</w:t>
      </w:r>
      <w:r w:rsidR="009E4B2E">
        <w:rPr>
          <w:rFonts w:cstheme="minorHAnsi"/>
          <w:color w:val="000000" w:themeColor="text1"/>
        </w:rPr>
        <w:t>ive step</w:t>
      </w:r>
      <w:r w:rsidR="009E4B2E" w:rsidRPr="0005474F">
        <w:rPr>
          <w:rFonts w:cstheme="minorHAnsi"/>
          <w:color w:val="000000" w:themeColor="text1"/>
        </w:rPr>
        <w:t xml:space="preserve"> </w:t>
      </w:r>
      <w:r w:rsidRPr="0005474F">
        <w:rPr>
          <w:rFonts w:cstheme="minorHAnsi"/>
          <w:color w:val="000000" w:themeColor="text1"/>
        </w:rPr>
        <w:t>reflect</w:t>
      </w:r>
      <w:r w:rsidR="008C400E">
        <w:rPr>
          <w:rFonts w:cstheme="minorHAnsi"/>
          <w:color w:val="000000" w:themeColor="text1"/>
        </w:rPr>
        <w:t>s</w:t>
      </w:r>
      <w:r w:rsidRPr="0005474F">
        <w:rPr>
          <w:rFonts w:cstheme="minorHAnsi"/>
          <w:color w:val="000000" w:themeColor="text1"/>
        </w:rPr>
        <w:t xml:space="preserve"> </w:t>
      </w:r>
      <w:r w:rsidR="00870395">
        <w:rPr>
          <w:rFonts w:cstheme="minorHAnsi"/>
          <w:color w:val="000000" w:themeColor="text1"/>
        </w:rPr>
        <w:t xml:space="preserve">the campus </w:t>
      </w:r>
      <w:r w:rsidRPr="0005474F">
        <w:rPr>
          <w:rFonts w:cstheme="minorHAnsi"/>
          <w:color w:val="000000" w:themeColor="text1"/>
        </w:rPr>
        <w:t>approach to individual, interpersonal, institutional, and systemic oppression, even as</w:t>
      </w:r>
      <w:r w:rsidR="00870395">
        <w:rPr>
          <w:rFonts w:cstheme="minorHAnsi"/>
          <w:color w:val="000000" w:themeColor="text1"/>
        </w:rPr>
        <w:t xml:space="preserve"> the</w:t>
      </w:r>
      <w:r w:rsidRPr="0005474F">
        <w:rPr>
          <w:rFonts w:cstheme="minorHAnsi"/>
          <w:color w:val="000000" w:themeColor="text1"/>
        </w:rPr>
        <w:t xml:space="preserve"> strategies shift as societal factors change. </w:t>
      </w:r>
    </w:p>
    <w:p w14:paraId="599C23FB" w14:textId="77777777" w:rsidR="00D73797" w:rsidRPr="00401166" w:rsidRDefault="00D73797" w:rsidP="00D73797">
      <w:pPr>
        <w:spacing w:after="0" w:line="480" w:lineRule="auto"/>
        <w:contextualSpacing/>
        <w:rPr>
          <w:rFonts w:cstheme="minorHAnsi"/>
          <w:color w:val="000000" w:themeColor="text1"/>
          <w:u w:val="single"/>
        </w:rPr>
      </w:pPr>
      <w:r w:rsidRPr="00401166">
        <w:rPr>
          <w:rFonts w:cstheme="minorHAnsi"/>
          <w:color w:val="000000" w:themeColor="text1"/>
          <w:u w:val="single"/>
        </w:rPr>
        <w:t>Theoretical Framework</w:t>
      </w:r>
    </w:p>
    <w:p w14:paraId="561D30A5" w14:textId="0A23820B" w:rsidR="00D73797" w:rsidRPr="0005474F" w:rsidRDefault="00870395" w:rsidP="00D73797">
      <w:pPr>
        <w:spacing w:after="0" w:line="480" w:lineRule="auto"/>
        <w:ind w:firstLine="720"/>
        <w:contextualSpacing/>
        <w:rPr>
          <w:rFonts w:cstheme="minorHAnsi"/>
          <w:color w:val="000000" w:themeColor="text1"/>
        </w:rPr>
      </w:pPr>
      <w:r>
        <w:rPr>
          <w:rFonts w:cstheme="minorHAnsi"/>
          <w:color w:val="000000" w:themeColor="text1"/>
        </w:rPr>
        <w:t>Campus</w:t>
      </w:r>
      <w:r w:rsidRPr="0005474F">
        <w:rPr>
          <w:rFonts w:cstheme="minorHAnsi"/>
          <w:color w:val="000000" w:themeColor="text1"/>
        </w:rPr>
        <w:t xml:space="preserve"> </w:t>
      </w:r>
      <w:r w:rsidR="00D73797" w:rsidRPr="0005474F">
        <w:rPr>
          <w:rFonts w:cstheme="minorHAnsi"/>
          <w:color w:val="000000" w:themeColor="text1"/>
        </w:rPr>
        <w:t>diversity, equity, and inclusion efforts track with the theoretical framework of the National Equity Project, which has provided training to the President’s Advisory Council on Diversity, Equity, Campus Climate, and Inclusion (</w:t>
      </w:r>
      <w:r w:rsidR="00F745AB">
        <w:rPr>
          <w:rFonts w:cstheme="minorHAnsi"/>
          <w:color w:val="000000" w:themeColor="text1"/>
        </w:rPr>
        <w:t>PAC; s</w:t>
      </w:r>
      <w:r w:rsidR="00F745AB" w:rsidRPr="0005474F">
        <w:rPr>
          <w:rFonts w:cstheme="minorHAnsi"/>
          <w:color w:val="000000" w:themeColor="text1"/>
        </w:rPr>
        <w:t xml:space="preserve">ee </w:t>
      </w:r>
      <w:r w:rsidR="00F745AB" w:rsidRPr="00411167">
        <w:rPr>
          <w:rFonts w:cstheme="minorHAnsi"/>
        </w:rPr>
        <w:t>a</w:t>
      </w:r>
      <w:r w:rsidR="00DB2390" w:rsidRPr="00411167">
        <w:rPr>
          <w:rFonts w:cstheme="minorHAnsi"/>
        </w:rPr>
        <w:t>ppendix</w:t>
      </w:r>
      <w:r w:rsidR="00D73797" w:rsidRPr="00411167">
        <w:rPr>
          <w:rFonts w:cstheme="minorHAnsi"/>
        </w:rPr>
        <w:t xml:space="preserve"> 6</w:t>
      </w:r>
      <w:r w:rsidR="00D73797" w:rsidRPr="0005474F">
        <w:rPr>
          <w:rFonts w:cstheme="minorHAnsi"/>
          <w:color w:val="000000" w:themeColor="text1"/>
        </w:rPr>
        <w:t xml:space="preserve"> for an </w:t>
      </w:r>
      <w:r w:rsidR="003B22CB">
        <w:rPr>
          <w:rFonts w:cstheme="minorHAnsi"/>
          <w:color w:val="000000" w:themeColor="text1"/>
        </w:rPr>
        <w:t>infographic</w:t>
      </w:r>
      <w:r w:rsidR="00D73797" w:rsidRPr="0005474F">
        <w:rPr>
          <w:rFonts w:cstheme="minorHAnsi"/>
          <w:color w:val="000000" w:themeColor="text1"/>
        </w:rPr>
        <w:t xml:space="preserve"> of the theoretical framework). Within this framework, individual biases, conscious and unconscious, inform the way </w:t>
      </w:r>
      <w:r>
        <w:rPr>
          <w:rFonts w:cstheme="minorHAnsi"/>
          <w:color w:val="000000" w:themeColor="text1"/>
        </w:rPr>
        <w:t>members of our campus community</w:t>
      </w:r>
      <w:r w:rsidR="00C95D93">
        <w:rPr>
          <w:rFonts w:cstheme="minorHAnsi"/>
          <w:color w:val="000000" w:themeColor="text1"/>
        </w:rPr>
        <w:t xml:space="preserve"> engage</w:t>
      </w:r>
      <w:r w:rsidR="00D73797" w:rsidRPr="0005474F">
        <w:rPr>
          <w:rFonts w:cstheme="minorHAnsi"/>
          <w:color w:val="000000" w:themeColor="text1"/>
        </w:rPr>
        <w:t xml:space="preserve"> with other</w:t>
      </w:r>
      <w:r>
        <w:rPr>
          <w:rFonts w:cstheme="minorHAnsi"/>
          <w:color w:val="000000" w:themeColor="text1"/>
        </w:rPr>
        <w:t xml:space="preserve"> members</w:t>
      </w:r>
      <w:r w:rsidR="00D73797" w:rsidRPr="0005474F">
        <w:rPr>
          <w:rFonts w:cstheme="minorHAnsi"/>
          <w:color w:val="000000" w:themeColor="text1"/>
        </w:rPr>
        <w:t xml:space="preserve">, especially across lines of difference. These biases </w:t>
      </w:r>
      <w:r w:rsidR="00893134">
        <w:rPr>
          <w:rFonts w:cstheme="minorHAnsi"/>
          <w:color w:val="000000" w:themeColor="text1"/>
        </w:rPr>
        <w:t>become</w:t>
      </w:r>
      <w:r w:rsidR="00D73797" w:rsidRPr="0005474F">
        <w:rPr>
          <w:rFonts w:cstheme="minorHAnsi"/>
          <w:color w:val="000000" w:themeColor="text1"/>
        </w:rPr>
        <w:t xml:space="preserve"> baked into policies and institutions. For those who are privileged in these systems, the biases often seem natural and are reinforced consistently. For those who suffer discrimination and oppression within these interactions and systems, the biases are recognized and reinforced through each disenfranchisement. Thus, in order for one aspect of DEI work to succeed</w:t>
      </w:r>
      <w:r w:rsidR="00C95D93">
        <w:rPr>
          <w:rFonts w:cstheme="minorHAnsi"/>
          <w:color w:val="000000" w:themeColor="text1"/>
        </w:rPr>
        <w:t>, the campus</w:t>
      </w:r>
      <w:r w:rsidR="00D73797" w:rsidRPr="0005474F">
        <w:rPr>
          <w:rFonts w:cstheme="minorHAnsi"/>
          <w:color w:val="000000" w:themeColor="text1"/>
        </w:rPr>
        <w:t xml:space="preserve"> need</w:t>
      </w:r>
      <w:r w:rsidR="00C95D93">
        <w:rPr>
          <w:rFonts w:cstheme="minorHAnsi"/>
          <w:color w:val="000000" w:themeColor="text1"/>
        </w:rPr>
        <w:t>s</w:t>
      </w:r>
      <w:r w:rsidR="00D73797" w:rsidRPr="0005474F">
        <w:rPr>
          <w:rFonts w:cstheme="minorHAnsi"/>
          <w:color w:val="000000" w:themeColor="text1"/>
        </w:rPr>
        <w:t xml:space="preserve"> to be focused on all areas – policies, climate, campus values, institutional structure and processes; the disparate impact of educational requirements and policies; extracurricular support mechanisms; and </w:t>
      </w:r>
      <w:r w:rsidR="00D73797" w:rsidRPr="0005474F">
        <w:rPr>
          <w:rFonts w:cstheme="minorHAnsi"/>
          <w:color w:val="000000" w:themeColor="text1"/>
        </w:rPr>
        <w:lastRenderedPageBreak/>
        <w:t xml:space="preserve">administrative structures. Each area shapes and is shaped by </w:t>
      </w:r>
      <w:r w:rsidR="006E04BA">
        <w:rPr>
          <w:rFonts w:cstheme="minorHAnsi"/>
          <w:color w:val="000000" w:themeColor="text1"/>
        </w:rPr>
        <w:t>other areas</w:t>
      </w:r>
      <w:r w:rsidR="00D73797" w:rsidRPr="0005474F">
        <w:rPr>
          <w:rFonts w:cstheme="minorHAnsi"/>
          <w:color w:val="000000" w:themeColor="text1"/>
        </w:rPr>
        <w:t xml:space="preserve">. </w:t>
      </w:r>
      <w:r w:rsidR="006E04BA">
        <w:rPr>
          <w:rFonts w:cstheme="minorHAnsi"/>
          <w:color w:val="000000" w:themeColor="text1"/>
        </w:rPr>
        <w:t>Therefore,</w:t>
      </w:r>
      <w:r w:rsidR="00D73797" w:rsidRPr="0005474F">
        <w:rPr>
          <w:rFonts w:cstheme="minorHAnsi"/>
          <w:color w:val="000000" w:themeColor="text1"/>
        </w:rPr>
        <w:t xml:space="preserve"> </w:t>
      </w:r>
      <w:r w:rsidR="00C95D93">
        <w:rPr>
          <w:rFonts w:cstheme="minorHAnsi"/>
          <w:color w:val="000000" w:themeColor="text1"/>
        </w:rPr>
        <w:t>SSU is</w:t>
      </w:r>
      <w:r w:rsidR="00D73797" w:rsidRPr="0005474F">
        <w:rPr>
          <w:rFonts w:cstheme="minorHAnsi"/>
          <w:color w:val="000000" w:themeColor="text1"/>
        </w:rPr>
        <w:t xml:space="preserve"> engaged in an approach that attempts to focus on all relevant areas at once, and in a way that acknowledges and helps shape the way they echo and reinforce each other.</w:t>
      </w:r>
    </w:p>
    <w:p w14:paraId="05D297C3" w14:textId="3AF63FAC" w:rsidR="00D73797" w:rsidRPr="000F386A" w:rsidRDefault="00D73797" w:rsidP="007953F2">
      <w:pPr>
        <w:spacing w:after="0" w:line="480" w:lineRule="auto"/>
        <w:ind w:firstLine="720"/>
        <w:rPr>
          <w:rFonts w:cstheme="minorHAnsi"/>
          <w:color w:val="000000" w:themeColor="text1"/>
        </w:rPr>
      </w:pPr>
      <w:r w:rsidRPr="0005474F">
        <w:rPr>
          <w:rFonts w:cstheme="minorHAnsi"/>
          <w:color w:val="000000" w:themeColor="text1"/>
        </w:rPr>
        <w:t xml:space="preserve">While the campus has historically operated with a decentralized approach toward DEI issues, President Sakaki has prioritized DEI as central to campus strategic planning, especially with the systemwide GI2025, which is focused on closing historically persistent achievement and equity gaps. A complementary campus approach is not only </w:t>
      </w:r>
      <w:r w:rsidR="00870395">
        <w:rPr>
          <w:rFonts w:cstheme="minorHAnsi"/>
          <w:color w:val="000000" w:themeColor="text1"/>
        </w:rPr>
        <w:t>boosting</w:t>
      </w:r>
      <w:r w:rsidRPr="0005474F">
        <w:rPr>
          <w:rFonts w:cstheme="minorHAnsi"/>
          <w:color w:val="000000" w:themeColor="text1"/>
        </w:rPr>
        <w:t xml:space="preserve"> </w:t>
      </w:r>
      <w:r w:rsidR="00870395">
        <w:rPr>
          <w:rFonts w:cstheme="minorHAnsi"/>
          <w:color w:val="000000" w:themeColor="text1"/>
        </w:rPr>
        <w:t xml:space="preserve">campus </w:t>
      </w:r>
      <w:r w:rsidRPr="0005474F">
        <w:rPr>
          <w:rFonts w:cstheme="minorHAnsi"/>
          <w:color w:val="000000" w:themeColor="text1"/>
        </w:rPr>
        <w:t>GI2025 efforts but is also creating opportunities for expanded cross-division</w:t>
      </w:r>
      <w:r w:rsidR="00925B41">
        <w:rPr>
          <w:rFonts w:cstheme="minorHAnsi"/>
          <w:color w:val="000000" w:themeColor="text1"/>
        </w:rPr>
        <w:t>al</w:t>
      </w:r>
      <w:r w:rsidRPr="0005474F">
        <w:rPr>
          <w:rFonts w:cstheme="minorHAnsi"/>
          <w:color w:val="000000" w:themeColor="text1"/>
        </w:rPr>
        <w:t xml:space="preserve"> collaboration and dialogue.</w:t>
      </w:r>
      <w:r w:rsidR="00925B41">
        <w:rPr>
          <w:rFonts w:cstheme="minorHAnsi"/>
          <w:color w:val="000000" w:themeColor="text1"/>
        </w:rPr>
        <w:t xml:space="preserve"> </w:t>
      </w:r>
      <w:r w:rsidRPr="000F386A">
        <w:rPr>
          <w:rFonts w:cstheme="minorHAnsi"/>
          <w:color w:val="000000" w:themeColor="text1"/>
        </w:rPr>
        <w:t xml:space="preserve">In the wake of challenges posed by the COVID-19 pandemic and the broad social unrest in the wake of </w:t>
      </w:r>
      <w:r w:rsidR="00AE79AC">
        <w:rPr>
          <w:rFonts w:cstheme="minorHAnsi"/>
          <w:color w:val="000000" w:themeColor="text1"/>
        </w:rPr>
        <w:t xml:space="preserve">continuing </w:t>
      </w:r>
      <w:r w:rsidRPr="000F386A">
        <w:rPr>
          <w:rFonts w:cstheme="minorHAnsi"/>
          <w:color w:val="000000" w:themeColor="text1"/>
        </w:rPr>
        <w:t>anti-Black violence</w:t>
      </w:r>
      <w:r w:rsidR="00AE79AC">
        <w:rPr>
          <w:rFonts w:cstheme="minorHAnsi"/>
          <w:color w:val="000000" w:themeColor="text1"/>
        </w:rPr>
        <w:t>,</w:t>
      </w:r>
      <w:r w:rsidRPr="000F386A">
        <w:rPr>
          <w:rFonts w:cstheme="minorHAnsi"/>
          <w:color w:val="000000" w:themeColor="text1"/>
        </w:rPr>
        <w:t xml:space="preserve"> </w:t>
      </w:r>
      <w:r w:rsidR="00AE79AC">
        <w:rPr>
          <w:rFonts w:cstheme="minorHAnsi"/>
          <w:color w:val="000000" w:themeColor="text1"/>
        </w:rPr>
        <w:t>this dual-pronged</w:t>
      </w:r>
      <w:r w:rsidRPr="000F386A">
        <w:rPr>
          <w:rFonts w:cstheme="minorHAnsi"/>
          <w:color w:val="000000" w:themeColor="text1"/>
        </w:rPr>
        <w:t xml:space="preserve"> approach promotes the core value of </w:t>
      </w:r>
      <w:r w:rsidR="00F745AB">
        <w:rPr>
          <w:rFonts w:cstheme="minorHAnsi"/>
          <w:color w:val="000000" w:themeColor="text1"/>
        </w:rPr>
        <w:t>d</w:t>
      </w:r>
      <w:r w:rsidR="00F745AB" w:rsidRPr="000F386A">
        <w:rPr>
          <w:rFonts w:cstheme="minorHAnsi"/>
          <w:color w:val="000000" w:themeColor="text1"/>
        </w:rPr>
        <w:t xml:space="preserve">iversity </w:t>
      </w:r>
      <w:r w:rsidRPr="000F386A">
        <w:rPr>
          <w:rFonts w:cstheme="minorHAnsi"/>
          <w:color w:val="000000" w:themeColor="text1"/>
        </w:rPr>
        <w:t xml:space="preserve">&amp; </w:t>
      </w:r>
      <w:r w:rsidR="00F745AB">
        <w:rPr>
          <w:rFonts w:cstheme="minorHAnsi"/>
          <w:color w:val="000000" w:themeColor="text1"/>
        </w:rPr>
        <w:t>s</w:t>
      </w:r>
      <w:r w:rsidR="00F745AB" w:rsidRPr="000F386A">
        <w:rPr>
          <w:rFonts w:cstheme="minorHAnsi"/>
          <w:color w:val="000000" w:themeColor="text1"/>
        </w:rPr>
        <w:t xml:space="preserve">ocial </w:t>
      </w:r>
      <w:r w:rsidR="00F745AB">
        <w:rPr>
          <w:rFonts w:cstheme="minorHAnsi"/>
          <w:color w:val="000000" w:themeColor="text1"/>
        </w:rPr>
        <w:t>j</w:t>
      </w:r>
      <w:r w:rsidR="00F745AB" w:rsidRPr="000F386A">
        <w:rPr>
          <w:rFonts w:cstheme="minorHAnsi"/>
          <w:color w:val="000000" w:themeColor="text1"/>
        </w:rPr>
        <w:t xml:space="preserve">ustice </w:t>
      </w:r>
      <w:r w:rsidRPr="000F386A">
        <w:rPr>
          <w:rFonts w:cstheme="minorHAnsi"/>
          <w:color w:val="000000" w:themeColor="text1"/>
        </w:rPr>
        <w:t>articulated in the SSU</w:t>
      </w:r>
      <w:r w:rsidR="00925B41">
        <w:rPr>
          <w:rFonts w:cstheme="minorHAnsi"/>
          <w:color w:val="000000" w:themeColor="text1"/>
        </w:rPr>
        <w:t xml:space="preserve"> </w:t>
      </w:r>
      <w:r w:rsidR="00F745AB">
        <w:rPr>
          <w:rFonts w:cstheme="minorHAnsi"/>
          <w:color w:val="000000" w:themeColor="text1"/>
        </w:rPr>
        <w:t>strategic p</w:t>
      </w:r>
      <w:r w:rsidR="00925B41">
        <w:rPr>
          <w:rFonts w:cstheme="minorHAnsi"/>
          <w:color w:val="000000" w:themeColor="text1"/>
        </w:rPr>
        <w:t>lan</w:t>
      </w:r>
      <w:r w:rsidR="003B22CB">
        <w:rPr>
          <w:rFonts w:cstheme="minorHAnsi"/>
          <w:color w:val="000000" w:themeColor="text1"/>
        </w:rPr>
        <w:t xml:space="preserve"> (see </w:t>
      </w:r>
      <w:r w:rsidR="003B22CB" w:rsidRPr="00411167">
        <w:rPr>
          <w:rFonts w:cstheme="minorHAnsi"/>
        </w:rPr>
        <w:t>appendix 6</w:t>
      </w:r>
      <w:r w:rsidR="003B22CB">
        <w:rPr>
          <w:rFonts w:cstheme="minorHAnsi"/>
          <w:color w:val="000000" w:themeColor="text1"/>
        </w:rPr>
        <w:t xml:space="preserve"> for links to various statements on racial justice issued by the campus since May 2020)</w:t>
      </w:r>
      <w:r w:rsidR="00065265">
        <w:rPr>
          <w:rFonts w:cstheme="minorHAnsi"/>
          <w:color w:val="000000" w:themeColor="text1"/>
        </w:rPr>
        <w:t>.</w:t>
      </w:r>
    </w:p>
    <w:p w14:paraId="7B14C8D0" w14:textId="6B70366C" w:rsidR="00D73797" w:rsidRDefault="00D73797" w:rsidP="0053401A">
      <w:pPr>
        <w:pStyle w:val="Heading2"/>
      </w:pPr>
      <w:r w:rsidRPr="000F386A">
        <w:t>Administrative and Organizational Practices</w:t>
      </w:r>
    </w:p>
    <w:p w14:paraId="4AE4CCE9" w14:textId="77777777" w:rsidR="0053401A" w:rsidRPr="0053401A" w:rsidRDefault="0053401A" w:rsidP="0053401A"/>
    <w:p w14:paraId="55A13BAB" w14:textId="4695F444" w:rsidR="00841753" w:rsidRDefault="00841753" w:rsidP="0053401A">
      <w:pPr>
        <w:pStyle w:val="Heading3"/>
      </w:pPr>
      <w:r>
        <w:t>Office of Diversity, Equity, and Inclusion</w:t>
      </w:r>
    </w:p>
    <w:p w14:paraId="01C8A495" w14:textId="77777777" w:rsidR="0053401A" w:rsidRPr="0053401A" w:rsidRDefault="0053401A" w:rsidP="0053401A"/>
    <w:p w14:paraId="4E7DB9B9" w14:textId="4DC16D0E" w:rsidR="00841753" w:rsidRDefault="00841753" w:rsidP="00D73797">
      <w:pPr>
        <w:spacing w:after="0" w:line="480" w:lineRule="auto"/>
        <w:rPr>
          <w:rFonts w:cstheme="minorHAnsi"/>
          <w:iCs/>
          <w:color w:val="000000" w:themeColor="text1"/>
        </w:rPr>
      </w:pPr>
      <w:r w:rsidRPr="002B20B8">
        <w:rPr>
          <w:rFonts w:cstheme="minorHAnsi"/>
          <w:iCs/>
          <w:color w:val="000000" w:themeColor="text1"/>
        </w:rPr>
        <w:tab/>
        <w:t xml:space="preserve">President Sakaki hired chief of staff and </w:t>
      </w:r>
      <w:r w:rsidR="00390AEB">
        <w:rPr>
          <w:rFonts w:cstheme="minorHAnsi"/>
          <w:iCs/>
          <w:color w:val="000000" w:themeColor="text1"/>
        </w:rPr>
        <w:t xml:space="preserve">associate vice president for strategic initiatives and diversity Dr. </w:t>
      </w:r>
      <w:proofErr w:type="spellStart"/>
      <w:r w:rsidR="00390AEB">
        <w:rPr>
          <w:rFonts w:cstheme="minorHAnsi"/>
          <w:iCs/>
          <w:color w:val="000000" w:themeColor="text1"/>
        </w:rPr>
        <w:t>Jerlena</w:t>
      </w:r>
      <w:proofErr w:type="spellEnd"/>
      <w:r w:rsidR="00390AEB">
        <w:rPr>
          <w:rFonts w:cstheme="minorHAnsi"/>
          <w:iCs/>
          <w:color w:val="000000" w:themeColor="text1"/>
        </w:rPr>
        <w:t xml:space="preserve"> Griffin-Desta in 2019, and she founded the </w:t>
      </w:r>
      <w:r w:rsidR="00F745AB">
        <w:rPr>
          <w:rFonts w:cstheme="minorHAnsi"/>
          <w:iCs/>
          <w:color w:val="000000" w:themeColor="text1"/>
        </w:rPr>
        <w:t>o</w:t>
      </w:r>
      <w:r w:rsidR="00390AEB">
        <w:rPr>
          <w:rFonts w:cstheme="minorHAnsi"/>
          <w:iCs/>
          <w:color w:val="000000" w:themeColor="text1"/>
        </w:rPr>
        <w:t xml:space="preserve">ffice of </w:t>
      </w:r>
      <w:r w:rsidR="00F745AB">
        <w:rPr>
          <w:rFonts w:cstheme="minorHAnsi"/>
          <w:iCs/>
          <w:color w:val="000000" w:themeColor="text1"/>
        </w:rPr>
        <w:t>d</w:t>
      </w:r>
      <w:r w:rsidR="00390AEB">
        <w:rPr>
          <w:rFonts w:cstheme="minorHAnsi"/>
          <w:iCs/>
          <w:color w:val="000000" w:themeColor="text1"/>
        </w:rPr>
        <w:t xml:space="preserve">iversity, </w:t>
      </w:r>
      <w:r w:rsidR="00F745AB">
        <w:rPr>
          <w:rFonts w:cstheme="minorHAnsi"/>
          <w:iCs/>
          <w:color w:val="000000" w:themeColor="text1"/>
        </w:rPr>
        <w:t>e</w:t>
      </w:r>
      <w:r w:rsidR="00390AEB">
        <w:rPr>
          <w:rFonts w:cstheme="minorHAnsi"/>
          <w:iCs/>
          <w:color w:val="000000" w:themeColor="text1"/>
        </w:rPr>
        <w:t>quity</w:t>
      </w:r>
      <w:r w:rsidR="002B20B8">
        <w:rPr>
          <w:rFonts w:cstheme="minorHAnsi"/>
          <w:iCs/>
          <w:color w:val="000000" w:themeColor="text1"/>
        </w:rPr>
        <w:t>,</w:t>
      </w:r>
      <w:r w:rsidR="00390AEB">
        <w:rPr>
          <w:rFonts w:cstheme="minorHAnsi"/>
          <w:iCs/>
          <w:color w:val="000000" w:themeColor="text1"/>
        </w:rPr>
        <w:t xml:space="preserve"> and </w:t>
      </w:r>
      <w:r w:rsidR="00F745AB">
        <w:rPr>
          <w:rFonts w:cstheme="minorHAnsi"/>
          <w:iCs/>
          <w:color w:val="000000" w:themeColor="text1"/>
        </w:rPr>
        <w:t>i</w:t>
      </w:r>
      <w:r w:rsidR="00390AEB">
        <w:rPr>
          <w:rFonts w:cstheme="minorHAnsi"/>
          <w:iCs/>
          <w:color w:val="000000" w:themeColor="text1"/>
        </w:rPr>
        <w:t>nclusion</w:t>
      </w:r>
      <w:r w:rsidR="002B20B8">
        <w:rPr>
          <w:rFonts w:cstheme="minorHAnsi"/>
          <w:iCs/>
          <w:color w:val="000000" w:themeColor="text1"/>
        </w:rPr>
        <w:t xml:space="preserve"> (ODEI)</w:t>
      </w:r>
      <w:r w:rsidR="00390AEB">
        <w:rPr>
          <w:rFonts w:cstheme="minorHAnsi"/>
          <w:iCs/>
          <w:color w:val="000000" w:themeColor="text1"/>
        </w:rPr>
        <w:t xml:space="preserve">, housed in the </w:t>
      </w:r>
      <w:r w:rsidR="00F745AB">
        <w:rPr>
          <w:rFonts w:cstheme="minorHAnsi"/>
          <w:iCs/>
          <w:color w:val="000000" w:themeColor="text1"/>
        </w:rPr>
        <w:t>o</w:t>
      </w:r>
      <w:r w:rsidR="00390AEB">
        <w:rPr>
          <w:rFonts w:cstheme="minorHAnsi"/>
          <w:iCs/>
          <w:color w:val="000000" w:themeColor="text1"/>
        </w:rPr>
        <w:t xml:space="preserve">ffice of the </w:t>
      </w:r>
      <w:r w:rsidR="00F745AB">
        <w:rPr>
          <w:rFonts w:cstheme="minorHAnsi"/>
          <w:iCs/>
          <w:color w:val="000000" w:themeColor="text1"/>
        </w:rPr>
        <w:t>p</w:t>
      </w:r>
      <w:r w:rsidR="00390AEB">
        <w:rPr>
          <w:rFonts w:cstheme="minorHAnsi"/>
          <w:iCs/>
          <w:color w:val="000000" w:themeColor="text1"/>
        </w:rPr>
        <w:t>resident</w:t>
      </w:r>
      <w:r w:rsidR="003B22CB">
        <w:rPr>
          <w:rFonts w:cstheme="minorHAnsi"/>
          <w:iCs/>
          <w:color w:val="000000" w:themeColor="text1"/>
        </w:rPr>
        <w:t xml:space="preserve"> (see </w:t>
      </w:r>
      <w:r w:rsidR="003B22CB" w:rsidRPr="00411167">
        <w:rPr>
          <w:rFonts w:cstheme="minorHAnsi"/>
          <w:iCs/>
        </w:rPr>
        <w:t>appendix 6</w:t>
      </w:r>
      <w:r w:rsidR="003B22CB">
        <w:rPr>
          <w:rFonts w:cstheme="minorHAnsi"/>
          <w:iCs/>
          <w:color w:val="000000" w:themeColor="text1"/>
        </w:rPr>
        <w:t xml:space="preserve"> for a link to the ODEI website)</w:t>
      </w:r>
      <w:r w:rsidR="00390AEB">
        <w:rPr>
          <w:rFonts w:cstheme="minorHAnsi"/>
          <w:iCs/>
          <w:color w:val="000000" w:themeColor="text1"/>
        </w:rPr>
        <w:t xml:space="preserve">. </w:t>
      </w:r>
      <w:r w:rsidR="002B20B8">
        <w:rPr>
          <w:rFonts w:cstheme="minorHAnsi"/>
          <w:iCs/>
          <w:color w:val="000000" w:themeColor="text1"/>
        </w:rPr>
        <w:t>The vision of the office is as follows:</w:t>
      </w:r>
    </w:p>
    <w:p w14:paraId="02025F84" w14:textId="5B5F609E" w:rsidR="002B20B8" w:rsidRDefault="002B20B8" w:rsidP="0053401A">
      <w:pPr>
        <w:pStyle w:val="Quote"/>
      </w:pPr>
      <w:r>
        <w:t>As a learning community, Sonoma State is dedicated to fostering a welcoming environment for</w:t>
      </w:r>
      <w:r w:rsidR="003F74E5">
        <w:t xml:space="preserve"> </w:t>
      </w:r>
      <w:r w:rsidR="00F745AB">
        <w:t>students,</w:t>
      </w:r>
      <w:r>
        <w:t xml:space="preserve"> faculty, staff, and stakeholders beyond the campus. We seek to inspire everyone in </w:t>
      </w:r>
      <w:proofErr w:type="gramStart"/>
      <w:r>
        <w:t>our</w:t>
      </w:r>
      <w:proofErr w:type="gramEnd"/>
      <w:r>
        <w:t xml:space="preserve"> </w:t>
      </w:r>
    </w:p>
    <w:p w14:paraId="4D84E649" w14:textId="30F170ED" w:rsidR="002B20B8" w:rsidRDefault="002B20B8" w:rsidP="0053401A">
      <w:pPr>
        <w:pStyle w:val="Quote"/>
      </w:pPr>
      <w:r>
        <w:t>community to reach for the ideals of integrity, accountability, and compassion, so that we can all serve as mentors and ambassadors for social justice and constructive civic engagement.</w:t>
      </w:r>
    </w:p>
    <w:p w14:paraId="3985F12A" w14:textId="6F530BBF" w:rsidR="002B20B8" w:rsidRDefault="002B20B8" w:rsidP="002B20B8">
      <w:pPr>
        <w:spacing w:after="0" w:line="240" w:lineRule="auto"/>
        <w:rPr>
          <w:rFonts w:cstheme="minorHAnsi"/>
          <w:i/>
          <w:iCs/>
          <w:color w:val="000000" w:themeColor="text1"/>
        </w:rPr>
      </w:pPr>
    </w:p>
    <w:p w14:paraId="5287F1F2" w14:textId="561B26AC" w:rsidR="002B20B8" w:rsidRPr="002B20B8" w:rsidRDefault="002B20B8" w:rsidP="00C84994">
      <w:pPr>
        <w:spacing w:after="0" w:line="480" w:lineRule="auto"/>
        <w:rPr>
          <w:rFonts w:cstheme="minorHAnsi"/>
          <w:iCs/>
          <w:color w:val="000000" w:themeColor="text1"/>
        </w:rPr>
      </w:pPr>
      <w:r>
        <w:rPr>
          <w:rFonts w:cstheme="minorHAnsi"/>
          <w:iCs/>
          <w:color w:val="000000" w:themeColor="text1"/>
        </w:rPr>
        <w:lastRenderedPageBreak/>
        <w:t xml:space="preserve">The office serves as a central coordinating office for campus diversity, equity, and inclusion initiatives and includes the chief diversity officer, the </w:t>
      </w:r>
      <w:r w:rsidR="00F745AB">
        <w:rPr>
          <w:rFonts w:cstheme="minorHAnsi"/>
          <w:iCs/>
          <w:color w:val="000000" w:themeColor="text1"/>
        </w:rPr>
        <w:t>c</w:t>
      </w:r>
      <w:r>
        <w:rPr>
          <w:rFonts w:cstheme="minorHAnsi"/>
          <w:iCs/>
          <w:color w:val="000000" w:themeColor="text1"/>
        </w:rPr>
        <w:t xml:space="preserve">enter for </w:t>
      </w:r>
      <w:r w:rsidR="00F745AB">
        <w:rPr>
          <w:rFonts w:cstheme="minorHAnsi"/>
          <w:iCs/>
          <w:color w:val="000000" w:themeColor="text1"/>
        </w:rPr>
        <w:t>c</w:t>
      </w:r>
      <w:r>
        <w:rPr>
          <w:rFonts w:cstheme="minorHAnsi"/>
          <w:iCs/>
          <w:color w:val="000000" w:themeColor="text1"/>
        </w:rPr>
        <w:t xml:space="preserve">ommunity </w:t>
      </w:r>
      <w:r w:rsidR="00F745AB">
        <w:rPr>
          <w:rFonts w:cstheme="minorHAnsi"/>
          <w:iCs/>
          <w:color w:val="000000" w:themeColor="text1"/>
        </w:rPr>
        <w:t>e</w:t>
      </w:r>
      <w:r>
        <w:rPr>
          <w:rFonts w:cstheme="minorHAnsi"/>
          <w:iCs/>
          <w:color w:val="000000" w:themeColor="text1"/>
        </w:rPr>
        <w:t>ngagement</w:t>
      </w:r>
      <w:r w:rsidR="00685C2F">
        <w:rPr>
          <w:rFonts w:cstheme="minorHAnsi"/>
          <w:iCs/>
          <w:color w:val="000000" w:themeColor="text1"/>
        </w:rPr>
        <w:t xml:space="preserve"> (CCE)</w:t>
      </w:r>
      <w:r>
        <w:rPr>
          <w:rFonts w:cstheme="minorHAnsi"/>
          <w:iCs/>
          <w:color w:val="000000" w:themeColor="text1"/>
        </w:rPr>
        <w:t xml:space="preserve">, and the HUB </w:t>
      </w:r>
      <w:r w:rsidR="00F745AB">
        <w:rPr>
          <w:rFonts w:cstheme="minorHAnsi"/>
          <w:iCs/>
          <w:color w:val="000000" w:themeColor="text1"/>
        </w:rPr>
        <w:t>c</w:t>
      </w:r>
      <w:r>
        <w:rPr>
          <w:rFonts w:cstheme="minorHAnsi"/>
          <w:iCs/>
          <w:color w:val="000000" w:themeColor="text1"/>
        </w:rPr>
        <w:t xml:space="preserve">ultural </w:t>
      </w:r>
      <w:r w:rsidR="00F745AB">
        <w:rPr>
          <w:rFonts w:cstheme="minorHAnsi"/>
          <w:iCs/>
          <w:color w:val="000000" w:themeColor="text1"/>
        </w:rPr>
        <w:t>c</w:t>
      </w:r>
      <w:r w:rsidR="00C84994">
        <w:rPr>
          <w:rFonts w:cstheme="minorHAnsi"/>
          <w:iCs/>
          <w:color w:val="000000" w:themeColor="text1"/>
        </w:rPr>
        <w:t>enter</w:t>
      </w:r>
      <w:r w:rsidR="00685C2F">
        <w:rPr>
          <w:rFonts w:cstheme="minorHAnsi"/>
          <w:iCs/>
          <w:color w:val="000000" w:themeColor="text1"/>
        </w:rPr>
        <w:t xml:space="preserve"> (see </w:t>
      </w:r>
      <w:r w:rsidR="00685C2F" w:rsidRPr="00411167">
        <w:rPr>
          <w:rFonts w:cstheme="minorHAnsi"/>
          <w:iCs/>
        </w:rPr>
        <w:t>appendix 6</w:t>
      </w:r>
      <w:r w:rsidR="00685C2F">
        <w:rPr>
          <w:rFonts w:cstheme="minorHAnsi"/>
          <w:iCs/>
          <w:color w:val="000000" w:themeColor="text1"/>
        </w:rPr>
        <w:t xml:space="preserve"> for a link to the CCE and HUB websites)</w:t>
      </w:r>
      <w:r w:rsidR="00C84994">
        <w:rPr>
          <w:rFonts w:cstheme="minorHAnsi"/>
          <w:iCs/>
          <w:color w:val="000000" w:themeColor="text1"/>
        </w:rPr>
        <w:t xml:space="preserve">. </w:t>
      </w:r>
    </w:p>
    <w:p w14:paraId="6768BD82" w14:textId="095E8D5F" w:rsidR="00D73797" w:rsidRDefault="00D73797" w:rsidP="0053401A">
      <w:pPr>
        <w:pStyle w:val="Heading3"/>
      </w:pPr>
      <w:r w:rsidRPr="00401166">
        <w:t>Senate Diversity Subcommittee</w:t>
      </w:r>
    </w:p>
    <w:p w14:paraId="0B62338F" w14:textId="77777777" w:rsidR="0053401A" w:rsidRPr="0053401A" w:rsidRDefault="0053401A" w:rsidP="0053401A"/>
    <w:p w14:paraId="5B70F23E" w14:textId="35DB4555" w:rsidR="00D73797" w:rsidRPr="00AD64B2" w:rsidRDefault="000C62EC" w:rsidP="00AD64B2">
      <w:pPr>
        <w:spacing w:after="0" w:line="480" w:lineRule="auto"/>
        <w:ind w:firstLine="720"/>
        <w:rPr>
          <w:rFonts w:cstheme="minorHAnsi"/>
          <w:color w:val="000000" w:themeColor="text1"/>
        </w:rPr>
      </w:pPr>
      <w:r>
        <w:rPr>
          <w:rFonts w:cstheme="minorHAnsi"/>
          <w:color w:val="000000" w:themeColor="text1"/>
        </w:rPr>
        <w:t>T</w:t>
      </w:r>
      <w:r w:rsidR="00D73797" w:rsidRPr="000F386A">
        <w:rPr>
          <w:rFonts w:cstheme="minorHAnsi"/>
          <w:color w:val="000000" w:themeColor="text1"/>
        </w:rPr>
        <w:t xml:space="preserve">he SSU </w:t>
      </w:r>
      <w:r w:rsidR="00F745AB">
        <w:rPr>
          <w:rFonts w:cstheme="minorHAnsi"/>
          <w:color w:val="000000" w:themeColor="text1"/>
        </w:rPr>
        <w:t>a</w:t>
      </w:r>
      <w:r w:rsidR="00D73797" w:rsidRPr="000F386A">
        <w:rPr>
          <w:rFonts w:cstheme="minorHAnsi"/>
          <w:color w:val="000000" w:themeColor="text1"/>
        </w:rPr>
        <w:t xml:space="preserve">cademic </w:t>
      </w:r>
      <w:r w:rsidR="00F745AB">
        <w:rPr>
          <w:rFonts w:cstheme="minorHAnsi"/>
          <w:color w:val="000000" w:themeColor="text1"/>
        </w:rPr>
        <w:t>s</w:t>
      </w:r>
      <w:r w:rsidR="00D73797" w:rsidRPr="000F386A">
        <w:rPr>
          <w:rFonts w:cstheme="minorHAnsi"/>
          <w:color w:val="000000" w:themeColor="text1"/>
        </w:rPr>
        <w:t xml:space="preserve">enate </w:t>
      </w:r>
      <w:r w:rsidR="00F745AB">
        <w:rPr>
          <w:rFonts w:cstheme="minorHAnsi"/>
          <w:color w:val="000000" w:themeColor="text1"/>
        </w:rPr>
        <w:t>d</w:t>
      </w:r>
      <w:r w:rsidR="00D73797" w:rsidRPr="000F386A">
        <w:rPr>
          <w:rFonts w:cstheme="minorHAnsi"/>
          <w:color w:val="000000" w:themeColor="text1"/>
        </w:rPr>
        <w:t xml:space="preserve">iversity </w:t>
      </w:r>
      <w:r w:rsidR="00F745AB">
        <w:rPr>
          <w:rFonts w:cstheme="minorHAnsi"/>
          <w:color w:val="000000" w:themeColor="text1"/>
        </w:rPr>
        <w:t>s</w:t>
      </w:r>
      <w:r w:rsidR="00D73797" w:rsidRPr="000F386A">
        <w:rPr>
          <w:rFonts w:cstheme="minorHAnsi"/>
          <w:color w:val="000000" w:themeColor="text1"/>
        </w:rPr>
        <w:t xml:space="preserve">ubcommittee (SDS), which advises the </w:t>
      </w:r>
      <w:r w:rsidR="00F745AB">
        <w:rPr>
          <w:rFonts w:cstheme="minorHAnsi"/>
          <w:color w:val="000000" w:themeColor="text1"/>
        </w:rPr>
        <w:t>a</w:t>
      </w:r>
      <w:r w:rsidR="00D73797" w:rsidRPr="000F386A">
        <w:rPr>
          <w:rFonts w:cstheme="minorHAnsi"/>
          <w:color w:val="000000" w:themeColor="text1"/>
        </w:rPr>
        <w:t xml:space="preserve">cademic </w:t>
      </w:r>
      <w:r w:rsidR="00F745AB">
        <w:rPr>
          <w:rFonts w:cstheme="minorHAnsi"/>
          <w:color w:val="000000" w:themeColor="text1"/>
        </w:rPr>
        <w:t>s</w:t>
      </w:r>
      <w:r w:rsidR="00D73797" w:rsidRPr="000F386A">
        <w:rPr>
          <w:rFonts w:cstheme="minorHAnsi"/>
          <w:color w:val="000000" w:themeColor="text1"/>
        </w:rPr>
        <w:t xml:space="preserve">enate on policies, programs, and evaluation of diversity-related efforts, </w:t>
      </w:r>
      <w:r>
        <w:rPr>
          <w:rFonts w:cstheme="minorHAnsi"/>
          <w:color w:val="000000" w:themeColor="text1"/>
        </w:rPr>
        <w:t>is working</w:t>
      </w:r>
      <w:r w:rsidR="0019502C">
        <w:rPr>
          <w:rFonts w:ascii="Calibri" w:hAnsi="Calibri" w:cs="Calibri"/>
          <w:color w:val="000000"/>
        </w:rPr>
        <w:t xml:space="preserve"> with the </w:t>
      </w:r>
      <w:r w:rsidR="00F745AB">
        <w:rPr>
          <w:rFonts w:ascii="Calibri" w:hAnsi="Calibri" w:cs="Calibri"/>
          <w:color w:val="000000"/>
        </w:rPr>
        <w:t>a</w:t>
      </w:r>
      <w:r w:rsidR="0019502C">
        <w:rPr>
          <w:rFonts w:ascii="Calibri" w:hAnsi="Calibri" w:cs="Calibri"/>
          <w:color w:val="000000"/>
        </w:rPr>
        <w:t xml:space="preserve">cademic </w:t>
      </w:r>
      <w:r w:rsidR="00F745AB">
        <w:rPr>
          <w:rFonts w:ascii="Calibri" w:hAnsi="Calibri" w:cs="Calibri"/>
          <w:color w:val="000000"/>
        </w:rPr>
        <w:t>p</w:t>
      </w:r>
      <w:r w:rsidR="0019502C">
        <w:rPr>
          <w:rFonts w:ascii="Calibri" w:hAnsi="Calibri" w:cs="Calibri"/>
          <w:color w:val="000000"/>
        </w:rPr>
        <w:t xml:space="preserve">rograms </w:t>
      </w:r>
      <w:r w:rsidR="00841753">
        <w:rPr>
          <w:rFonts w:ascii="Calibri" w:hAnsi="Calibri" w:cs="Calibri"/>
          <w:color w:val="000000"/>
        </w:rPr>
        <w:t>f</w:t>
      </w:r>
      <w:r w:rsidR="0019502C">
        <w:rPr>
          <w:rFonts w:ascii="Calibri" w:hAnsi="Calibri" w:cs="Calibri"/>
          <w:color w:val="000000"/>
        </w:rPr>
        <w:t xml:space="preserve">aculty </w:t>
      </w:r>
      <w:r w:rsidR="00841753">
        <w:rPr>
          <w:rFonts w:ascii="Calibri" w:hAnsi="Calibri" w:cs="Calibri"/>
          <w:color w:val="000000"/>
        </w:rPr>
        <w:t>f</w:t>
      </w:r>
      <w:r w:rsidR="0019502C">
        <w:rPr>
          <w:rFonts w:ascii="Calibri" w:hAnsi="Calibri" w:cs="Calibri"/>
          <w:color w:val="000000"/>
        </w:rPr>
        <w:t xml:space="preserve">ellow for </w:t>
      </w:r>
      <w:r w:rsidR="00841753">
        <w:rPr>
          <w:rFonts w:ascii="Calibri" w:hAnsi="Calibri" w:cs="Calibri"/>
          <w:color w:val="000000"/>
        </w:rPr>
        <w:t>a</w:t>
      </w:r>
      <w:r w:rsidR="0019502C">
        <w:rPr>
          <w:rFonts w:ascii="Calibri" w:hAnsi="Calibri" w:cs="Calibri"/>
          <w:color w:val="000000"/>
        </w:rPr>
        <w:t>nti-</w:t>
      </w:r>
      <w:r w:rsidR="00841753">
        <w:rPr>
          <w:rFonts w:ascii="Calibri" w:hAnsi="Calibri" w:cs="Calibri"/>
          <w:color w:val="000000"/>
        </w:rPr>
        <w:t>r</w:t>
      </w:r>
      <w:r w:rsidR="0019502C">
        <w:rPr>
          <w:rFonts w:ascii="Calibri" w:hAnsi="Calibri" w:cs="Calibri"/>
          <w:color w:val="000000"/>
        </w:rPr>
        <w:t xml:space="preserve">acist </w:t>
      </w:r>
      <w:r w:rsidR="00841753">
        <w:rPr>
          <w:rFonts w:ascii="Calibri" w:hAnsi="Calibri" w:cs="Calibri"/>
          <w:color w:val="000000"/>
        </w:rPr>
        <w:t>c</w:t>
      </w:r>
      <w:r w:rsidR="0019502C">
        <w:rPr>
          <w:rFonts w:ascii="Calibri" w:hAnsi="Calibri" w:cs="Calibri"/>
          <w:color w:val="000000"/>
        </w:rPr>
        <w:t xml:space="preserve">urriculum </w:t>
      </w:r>
      <w:r w:rsidR="00841753">
        <w:rPr>
          <w:rFonts w:ascii="Calibri" w:hAnsi="Calibri" w:cs="Calibri"/>
          <w:color w:val="000000"/>
        </w:rPr>
        <w:t>d</w:t>
      </w:r>
      <w:r w:rsidR="0019502C">
        <w:rPr>
          <w:rFonts w:ascii="Calibri" w:hAnsi="Calibri" w:cs="Calibri"/>
          <w:color w:val="000000"/>
        </w:rPr>
        <w:t>esign (see below) to discuss ways they could work together to encourage and foster classroom curriculum and pedagogies that reflect the campus commit</w:t>
      </w:r>
      <w:r w:rsidR="00AD64B2">
        <w:rPr>
          <w:rFonts w:ascii="Calibri" w:hAnsi="Calibri" w:cs="Calibri"/>
          <w:color w:val="000000"/>
        </w:rPr>
        <w:t>ment to diversity (</w:t>
      </w:r>
      <w:r w:rsidR="002F088A">
        <w:rPr>
          <w:rFonts w:ascii="Calibri" w:hAnsi="Calibri" w:cs="Calibri"/>
          <w:color w:val="000000"/>
        </w:rPr>
        <w:t xml:space="preserve">see </w:t>
      </w:r>
      <w:r w:rsidR="00F745AB" w:rsidRPr="00411167">
        <w:rPr>
          <w:rFonts w:ascii="Calibri" w:hAnsi="Calibri" w:cs="Calibri"/>
        </w:rPr>
        <w:t>a</w:t>
      </w:r>
      <w:r w:rsidR="00DB2390" w:rsidRPr="00411167">
        <w:rPr>
          <w:rFonts w:ascii="Calibri" w:hAnsi="Calibri" w:cs="Calibri"/>
        </w:rPr>
        <w:t>ppendix</w:t>
      </w:r>
      <w:r w:rsidR="0019502C" w:rsidRPr="00411167">
        <w:rPr>
          <w:rFonts w:ascii="Calibri" w:hAnsi="Calibri" w:cs="Calibri"/>
        </w:rPr>
        <w:t xml:space="preserve"> 6</w:t>
      </w:r>
      <w:r w:rsidR="0019502C">
        <w:rPr>
          <w:rFonts w:ascii="Calibri" w:hAnsi="Calibri" w:cs="Calibri"/>
          <w:color w:val="000000"/>
        </w:rPr>
        <w:t xml:space="preserve"> for </w:t>
      </w:r>
      <w:r w:rsidR="00AD64B2">
        <w:rPr>
          <w:rFonts w:ascii="Calibri" w:hAnsi="Calibri" w:cs="Calibri"/>
          <w:color w:val="000000"/>
        </w:rPr>
        <w:t xml:space="preserve">the </w:t>
      </w:r>
      <w:r w:rsidR="00F745AB">
        <w:rPr>
          <w:rFonts w:ascii="Calibri" w:hAnsi="Calibri" w:cs="Calibri"/>
          <w:color w:val="000000"/>
        </w:rPr>
        <w:t xml:space="preserve">senate’s </w:t>
      </w:r>
      <w:r w:rsidR="00AD64B2">
        <w:rPr>
          <w:rFonts w:ascii="Calibri" w:hAnsi="Calibri" w:cs="Calibri"/>
          <w:color w:val="000000"/>
        </w:rPr>
        <w:t>“</w:t>
      </w:r>
      <w:r w:rsidR="0019502C">
        <w:rPr>
          <w:rFonts w:ascii="Calibri" w:hAnsi="Calibri" w:cs="Calibri"/>
          <w:color w:val="000000"/>
        </w:rPr>
        <w:t>Vision Statement” resolution).</w:t>
      </w:r>
      <w:r w:rsidR="00AD64B2">
        <w:rPr>
          <w:rFonts w:cstheme="minorHAnsi"/>
          <w:color w:val="000000" w:themeColor="text1"/>
        </w:rPr>
        <w:t xml:space="preserve"> </w:t>
      </w:r>
      <w:r w:rsidR="00D73797" w:rsidRPr="000F386A">
        <w:rPr>
          <w:rFonts w:cstheme="minorHAnsi"/>
          <w:color w:val="000000" w:themeColor="text1"/>
        </w:rPr>
        <w:t xml:space="preserve">This reflects the high value that SSU places on DEI work, while simultaneously reinforcing faculty commitment to this work. </w:t>
      </w:r>
    </w:p>
    <w:p w14:paraId="170A25AB" w14:textId="7660A974" w:rsidR="00D73797" w:rsidRDefault="00D73797" w:rsidP="00EC3667">
      <w:pPr>
        <w:pStyle w:val="Heading3"/>
      </w:pPr>
      <w:r w:rsidRPr="00401166">
        <w:t>Designation as a Hispanic Serving Institution (HSI)</w:t>
      </w:r>
    </w:p>
    <w:p w14:paraId="7551CAA3" w14:textId="77777777" w:rsidR="00EC3667" w:rsidRPr="00EC3667" w:rsidRDefault="00EC3667" w:rsidP="00EC3667"/>
    <w:p w14:paraId="7B53CF3C" w14:textId="760FB4D3" w:rsidR="00D73797" w:rsidRPr="000F386A" w:rsidRDefault="00D73797" w:rsidP="00D73797">
      <w:pPr>
        <w:spacing w:line="480" w:lineRule="auto"/>
        <w:ind w:firstLine="360"/>
        <w:contextualSpacing/>
        <w:rPr>
          <w:rFonts w:cstheme="minorHAnsi"/>
          <w:color w:val="000000" w:themeColor="text1"/>
        </w:rPr>
      </w:pPr>
      <w:r w:rsidRPr="000F386A">
        <w:rPr>
          <w:rFonts w:cstheme="minorHAnsi"/>
          <w:color w:val="000000" w:themeColor="text1"/>
        </w:rPr>
        <w:t xml:space="preserve">SSU qualified for status as a </w:t>
      </w:r>
      <w:r w:rsidR="009E4B2E" w:rsidRPr="000F386A">
        <w:rPr>
          <w:rFonts w:cstheme="minorHAnsi"/>
          <w:color w:val="000000" w:themeColor="text1"/>
        </w:rPr>
        <w:t>Hispanic</w:t>
      </w:r>
      <w:r w:rsidR="009E4B2E">
        <w:rPr>
          <w:rFonts w:cstheme="minorHAnsi"/>
          <w:color w:val="000000" w:themeColor="text1"/>
        </w:rPr>
        <w:t>-</w:t>
      </w:r>
      <w:r w:rsidRPr="000F386A">
        <w:rPr>
          <w:rFonts w:cstheme="minorHAnsi"/>
          <w:color w:val="000000" w:themeColor="text1"/>
        </w:rPr>
        <w:t>Serving Institution (HSI) in 2017 and has continued to renew its eligibility, enabling the campus to continue competing for grants to support the growing diversity of the student body.</w:t>
      </w:r>
      <w:r w:rsidR="00925B41">
        <w:rPr>
          <w:rFonts w:cstheme="minorHAnsi"/>
          <w:color w:val="000000" w:themeColor="text1"/>
        </w:rPr>
        <w:t xml:space="preserve"> </w:t>
      </w:r>
      <w:r w:rsidRPr="000F386A">
        <w:rPr>
          <w:rFonts w:cstheme="minorHAnsi"/>
          <w:color w:val="000000" w:themeColor="text1"/>
          <w:highlight w:val="white"/>
        </w:rPr>
        <w:t xml:space="preserve">SSU’s </w:t>
      </w:r>
      <w:r w:rsidR="00F745AB">
        <w:rPr>
          <w:rFonts w:cstheme="minorHAnsi"/>
          <w:color w:val="000000" w:themeColor="text1"/>
          <w:highlight w:val="white"/>
        </w:rPr>
        <w:t>s</w:t>
      </w:r>
      <w:r w:rsidR="00F745AB" w:rsidRPr="000F386A">
        <w:rPr>
          <w:rFonts w:cstheme="minorHAnsi"/>
          <w:color w:val="000000" w:themeColor="text1"/>
          <w:highlight w:val="white"/>
        </w:rPr>
        <w:t xml:space="preserve">chool </w:t>
      </w:r>
      <w:r w:rsidRPr="000F386A">
        <w:rPr>
          <w:rFonts w:cstheme="minorHAnsi"/>
          <w:color w:val="000000" w:themeColor="text1"/>
          <w:highlight w:val="white"/>
        </w:rPr>
        <w:t xml:space="preserve">of </w:t>
      </w:r>
      <w:r w:rsidR="00F745AB">
        <w:rPr>
          <w:rFonts w:cstheme="minorHAnsi"/>
          <w:color w:val="000000" w:themeColor="text1"/>
          <w:highlight w:val="white"/>
        </w:rPr>
        <w:t>e</w:t>
      </w:r>
      <w:r w:rsidR="00F745AB" w:rsidRPr="000F386A">
        <w:rPr>
          <w:rFonts w:cstheme="minorHAnsi"/>
          <w:color w:val="000000" w:themeColor="text1"/>
          <w:highlight w:val="white"/>
        </w:rPr>
        <w:t xml:space="preserve">ducation </w:t>
      </w:r>
      <w:r w:rsidRPr="000F386A">
        <w:rPr>
          <w:rFonts w:cstheme="minorHAnsi"/>
          <w:color w:val="000000" w:themeColor="text1"/>
          <w:highlight w:val="white"/>
        </w:rPr>
        <w:t>was awarded a $2.75 million grant in October 2017 to support the preparation of more Hispanic school teachers via the launch of the PUERTA program (which stands for Preparing Under-Represented Educators to Realize Their Teaching Ambitions).</w:t>
      </w:r>
      <w:r w:rsidR="00925B41">
        <w:rPr>
          <w:rFonts w:cstheme="minorHAnsi"/>
          <w:color w:val="000000" w:themeColor="text1"/>
          <w:highlight w:val="white"/>
        </w:rPr>
        <w:t xml:space="preserve"> </w:t>
      </w:r>
    </w:p>
    <w:p w14:paraId="594220E3" w14:textId="56796AD0" w:rsidR="00D73797" w:rsidRPr="000F386A" w:rsidRDefault="00D73797" w:rsidP="00D73797">
      <w:pPr>
        <w:spacing w:line="480" w:lineRule="auto"/>
        <w:ind w:firstLine="360"/>
        <w:contextualSpacing/>
        <w:rPr>
          <w:rFonts w:cstheme="minorHAnsi"/>
          <w:color w:val="000000" w:themeColor="text1"/>
        </w:rPr>
      </w:pPr>
      <w:r w:rsidRPr="000F386A">
        <w:rPr>
          <w:rFonts w:eastAsia="Times New Roman" w:cstheme="minorHAnsi"/>
          <w:color w:val="000000" w:themeColor="text1"/>
        </w:rPr>
        <w:t xml:space="preserve">In </w:t>
      </w:r>
      <w:r w:rsidR="00390AEB">
        <w:rPr>
          <w:rFonts w:eastAsia="Times New Roman" w:cstheme="minorHAnsi"/>
          <w:color w:val="000000" w:themeColor="text1"/>
        </w:rPr>
        <w:t>s</w:t>
      </w:r>
      <w:r w:rsidRPr="000F386A">
        <w:rPr>
          <w:rFonts w:eastAsia="Times New Roman" w:cstheme="minorHAnsi"/>
          <w:color w:val="000000" w:themeColor="text1"/>
        </w:rPr>
        <w:t xml:space="preserve">pring 2020, SSU’s </w:t>
      </w:r>
      <w:r w:rsidR="00F745AB">
        <w:rPr>
          <w:rFonts w:eastAsia="Times New Roman" w:cstheme="minorHAnsi"/>
          <w:color w:val="000000" w:themeColor="text1"/>
        </w:rPr>
        <w:t>c</w:t>
      </w:r>
      <w:r w:rsidR="00F745AB" w:rsidRPr="000F386A">
        <w:rPr>
          <w:rFonts w:eastAsia="Times New Roman" w:cstheme="minorHAnsi"/>
          <w:color w:val="000000" w:themeColor="text1"/>
        </w:rPr>
        <w:t xml:space="preserve">hief </w:t>
      </w:r>
      <w:r w:rsidR="00F745AB">
        <w:rPr>
          <w:rFonts w:eastAsia="Times New Roman" w:cstheme="minorHAnsi"/>
          <w:color w:val="000000" w:themeColor="text1"/>
        </w:rPr>
        <w:t>d</w:t>
      </w:r>
      <w:r w:rsidR="00F745AB" w:rsidRPr="000F386A">
        <w:rPr>
          <w:rFonts w:eastAsia="Times New Roman" w:cstheme="minorHAnsi"/>
          <w:color w:val="000000" w:themeColor="text1"/>
        </w:rPr>
        <w:t xml:space="preserve">iversity </w:t>
      </w:r>
      <w:r w:rsidR="00F745AB">
        <w:rPr>
          <w:rFonts w:eastAsia="Times New Roman" w:cstheme="minorHAnsi"/>
          <w:color w:val="000000" w:themeColor="text1"/>
        </w:rPr>
        <w:t>o</w:t>
      </w:r>
      <w:r w:rsidR="00F745AB" w:rsidRPr="000F386A">
        <w:rPr>
          <w:rFonts w:eastAsia="Times New Roman" w:cstheme="minorHAnsi"/>
          <w:color w:val="000000" w:themeColor="text1"/>
        </w:rPr>
        <w:t xml:space="preserve">fficer </w:t>
      </w:r>
      <w:r w:rsidRPr="000F386A">
        <w:rPr>
          <w:rFonts w:eastAsia="Times New Roman" w:cstheme="minorHAnsi"/>
          <w:color w:val="000000" w:themeColor="text1"/>
        </w:rPr>
        <w:t>commissioned a Hispanic-Serving Institution (HSI) Task Force to explore how to better serve Latinx student, staff, and faculty populations with the aim of supporting and benefiting all underserved communities.</w:t>
      </w:r>
    </w:p>
    <w:p w14:paraId="58F49A7A" w14:textId="0C18EBDF" w:rsidR="00D73797" w:rsidRDefault="00D73797" w:rsidP="0076707C">
      <w:pPr>
        <w:pStyle w:val="Heading3"/>
      </w:pPr>
      <w:r w:rsidRPr="00401166">
        <w:t>Strategic Plan 2025</w:t>
      </w:r>
    </w:p>
    <w:p w14:paraId="331D90D2" w14:textId="77777777" w:rsidR="0076707C" w:rsidRPr="0076707C" w:rsidRDefault="0076707C" w:rsidP="0076707C"/>
    <w:p w14:paraId="41AC700A" w14:textId="41C07798" w:rsidR="00D73797" w:rsidRPr="000F386A" w:rsidRDefault="00D73797" w:rsidP="004B74B6">
      <w:pPr>
        <w:pBdr>
          <w:top w:val="nil"/>
          <w:left w:val="nil"/>
          <w:bottom w:val="nil"/>
          <w:right w:val="nil"/>
          <w:between w:val="nil"/>
        </w:pBdr>
        <w:spacing w:after="0" w:line="480" w:lineRule="auto"/>
        <w:ind w:firstLine="720"/>
        <w:contextualSpacing/>
        <w:rPr>
          <w:rFonts w:cstheme="minorHAnsi"/>
          <w:color w:val="000000" w:themeColor="text1"/>
        </w:rPr>
      </w:pPr>
      <w:r w:rsidRPr="000F386A">
        <w:rPr>
          <w:rFonts w:cstheme="minorHAnsi"/>
          <w:color w:val="000000" w:themeColor="text1"/>
        </w:rPr>
        <w:lastRenderedPageBreak/>
        <w:t xml:space="preserve">SSU’s 2017-18 strategic planning process, which was described in the </w:t>
      </w:r>
      <w:r w:rsidR="00F745AB">
        <w:rPr>
          <w:rFonts w:cstheme="minorHAnsi"/>
          <w:color w:val="000000" w:themeColor="text1"/>
        </w:rPr>
        <w:t>r</w:t>
      </w:r>
      <w:r w:rsidR="00F745AB" w:rsidRPr="000F386A">
        <w:rPr>
          <w:rFonts w:cstheme="minorHAnsi"/>
          <w:color w:val="000000" w:themeColor="text1"/>
        </w:rPr>
        <w:t xml:space="preserve">esponse </w:t>
      </w:r>
      <w:r w:rsidRPr="000F386A">
        <w:rPr>
          <w:rFonts w:cstheme="minorHAnsi"/>
          <w:color w:val="000000" w:themeColor="text1"/>
        </w:rPr>
        <w:t xml:space="preserve">to </w:t>
      </w:r>
      <w:r w:rsidR="00F745AB">
        <w:rPr>
          <w:rFonts w:cstheme="minorHAnsi"/>
          <w:color w:val="000000" w:themeColor="text1"/>
        </w:rPr>
        <w:t>r</w:t>
      </w:r>
      <w:r w:rsidR="00F745AB" w:rsidRPr="000F386A">
        <w:rPr>
          <w:rFonts w:cstheme="minorHAnsi"/>
          <w:color w:val="000000" w:themeColor="text1"/>
        </w:rPr>
        <w:t xml:space="preserve">ecommendation </w:t>
      </w:r>
      <w:r w:rsidRPr="000F386A">
        <w:rPr>
          <w:rFonts w:cstheme="minorHAnsi"/>
          <w:color w:val="000000" w:themeColor="text1"/>
        </w:rPr>
        <w:t>3, emphasized diversity, equity, inclusion, and community.</w:t>
      </w:r>
      <w:r w:rsidR="00925B41">
        <w:rPr>
          <w:rFonts w:cstheme="minorHAnsi"/>
          <w:color w:val="000000" w:themeColor="text1"/>
        </w:rPr>
        <w:t xml:space="preserve"> </w:t>
      </w:r>
      <w:r w:rsidRPr="000F386A">
        <w:rPr>
          <w:rFonts w:cstheme="minorHAnsi"/>
          <w:color w:val="000000" w:themeColor="text1"/>
        </w:rPr>
        <w:t>The process was guided by a commitment to three principles:</w:t>
      </w:r>
      <w:r w:rsidR="00925B41">
        <w:rPr>
          <w:rFonts w:cstheme="minorHAnsi"/>
          <w:color w:val="000000" w:themeColor="text1"/>
        </w:rPr>
        <w:t xml:space="preserve"> </w:t>
      </w:r>
      <w:r w:rsidRPr="000F386A">
        <w:rPr>
          <w:rFonts w:cstheme="minorHAnsi"/>
          <w:color w:val="000000" w:themeColor="text1"/>
        </w:rPr>
        <w:t>inclusivity, integrity, and respec</w:t>
      </w:r>
      <w:r w:rsidR="000C62EC">
        <w:rPr>
          <w:rFonts w:cstheme="minorHAnsi"/>
          <w:color w:val="000000" w:themeColor="text1"/>
        </w:rPr>
        <w:t>t.</w:t>
      </w:r>
    </w:p>
    <w:p w14:paraId="2005E6A1" w14:textId="104994B8" w:rsidR="00D73797" w:rsidRDefault="00D73797" w:rsidP="0076707C">
      <w:pPr>
        <w:pStyle w:val="Heading3"/>
      </w:pPr>
      <w:r w:rsidRPr="00401166">
        <w:t>Anti-Bias and Anti-Racism Training</w:t>
      </w:r>
    </w:p>
    <w:p w14:paraId="71DB14CF" w14:textId="77777777" w:rsidR="0076707C" w:rsidRPr="0076707C" w:rsidRDefault="0076707C" w:rsidP="0076707C"/>
    <w:p w14:paraId="1D6D67F6" w14:textId="2DF1FCAA" w:rsidR="00D73797" w:rsidRPr="000F386A" w:rsidRDefault="004B74B6" w:rsidP="0076707C">
      <w:pPr>
        <w:pStyle w:val="NoSpacing"/>
        <w:numPr>
          <w:ilvl w:val="0"/>
          <w:numId w:val="46"/>
        </w:numPr>
        <w:rPr>
          <w:i/>
          <w:iCs/>
        </w:rPr>
      </w:pPr>
      <w:r>
        <w:t>SSU participated in the CSU/</w:t>
      </w:r>
      <w:r w:rsidR="00D73797" w:rsidRPr="000F386A">
        <w:t xml:space="preserve">University of California anti-bias training series based on Patricia Devine’s </w:t>
      </w:r>
      <w:r w:rsidR="00D73797" w:rsidRPr="000F386A">
        <w:rPr>
          <w:i/>
          <w:iCs/>
        </w:rPr>
        <w:t>Breaking the Bias Habit</w:t>
      </w:r>
      <w:r w:rsidR="00D73797" w:rsidRPr="000F386A">
        <w:t xml:space="preserve"> model. Training sessions were designed for student leaders, senior administrators, faculty, and staff (train-the-trainers). These sessions have been carried out over 2020 in four separate cohort modules.</w:t>
      </w:r>
    </w:p>
    <w:p w14:paraId="093A080F" w14:textId="6D2847B8" w:rsidR="00D73797" w:rsidRPr="000F386A" w:rsidRDefault="00D73797" w:rsidP="0076707C">
      <w:pPr>
        <w:pStyle w:val="NoSpacing"/>
        <w:numPr>
          <w:ilvl w:val="0"/>
          <w:numId w:val="46"/>
        </w:numPr>
      </w:pPr>
      <w:r w:rsidRPr="000F386A">
        <w:t xml:space="preserve">Beginning </w:t>
      </w:r>
      <w:r w:rsidR="00841753">
        <w:t>fall</w:t>
      </w:r>
      <w:r w:rsidRPr="000F386A">
        <w:t xml:space="preserve"> 2020, in addition to the online website and related tools, the </w:t>
      </w:r>
      <w:r w:rsidR="000C62EC">
        <w:t>SSU ODEI</w:t>
      </w:r>
      <w:r w:rsidR="00F745AB">
        <w:t xml:space="preserve"> </w:t>
      </w:r>
      <w:r w:rsidRPr="000F386A">
        <w:t>began providing training both campus and systemwide on inclusion, bias</w:t>
      </w:r>
      <w:r w:rsidR="000C62EC">
        <w:t>,</w:t>
      </w:r>
      <w:r w:rsidRPr="000F386A">
        <w:t xml:space="preserve"> and other diversity-related issues.</w:t>
      </w:r>
      <w:r w:rsidR="0076707C">
        <w:br/>
      </w:r>
    </w:p>
    <w:p w14:paraId="1EA9C38B" w14:textId="2B31338C" w:rsidR="00D73797" w:rsidRPr="000F386A" w:rsidRDefault="00D73797" w:rsidP="00D73797">
      <w:pPr>
        <w:spacing w:line="480" w:lineRule="auto"/>
        <w:contextualSpacing/>
        <w:rPr>
          <w:rFonts w:cstheme="minorHAnsi"/>
          <w:b/>
          <w:bCs/>
          <w:color w:val="000000" w:themeColor="text1"/>
          <w:sz w:val="24"/>
          <w:u w:val="single"/>
        </w:rPr>
      </w:pPr>
      <w:r w:rsidRPr="000F386A">
        <w:rPr>
          <w:rFonts w:cstheme="minorHAnsi"/>
          <w:b/>
          <w:bCs/>
          <w:color w:val="000000" w:themeColor="text1"/>
          <w:sz w:val="24"/>
          <w:u w:val="single"/>
        </w:rPr>
        <w:t>Curricular and Co-Curricular Programs</w:t>
      </w:r>
    </w:p>
    <w:p w14:paraId="71BF7AC4" w14:textId="3D544CBD" w:rsidR="00D73797" w:rsidRPr="00401166" w:rsidRDefault="00D73797" w:rsidP="0076707C">
      <w:pPr>
        <w:pStyle w:val="Heading3"/>
        <w:rPr>
          <w:b/>
          <w:bCs/>
        </w:rPr>
      </w:pPr>
      <w:r w:rsidRPr="00401166">
        <w:t>General Education (GE) Program Revision</w:t>
      </w:r>
      <w:r w:rsidR="0076707C">
        <w:br/>
      </w:r>
    </w:p>
    <w:p w14:paraId="59D5B826" w14:textId="03D7BA04" w:rsidR="00D73797" w:rsidRPr="000F386A" w:rsidRDefault="00D73797" w:rsidP="00D73797">
      <w:pPr>
        <w:pBdr>
          <w:top w:val="nil"/>
          <w:left w:val="nil"/>
          <w:bottom w:val="nil"/>
          <w:right w:val="nil"/>
          <w:between w:val="nil"/>
        </w:pBdr>
        <w:spacing w:after="0" w:line="480" w:lineRule="auto"/>
        <w:rPr>
          <w:rFonts w:cstheme="minorHAnsi"/>
          <w:color w:val="000000" w:themeColor="text1"/>
        </w:rPr>
      </w:pPr>
      <w:r w:rsidRPr="000F386A">
        <w:rPr>
          <w:rFonts w:cstheme="minorHAnsi"/>
          <w:color w:val="000000" w:themeColor="text1"/>
        </w:rPr>
        <w:tab/>
        <w:t xml:space="preserve">In </w:t>
      </w:r>
      <w:r w:rsidR="00841753">
        <w:rPr>
          <w:rFonts w:cstheme="minorHAnsi"/>
          <w:color w:val="000000" w:themeColor="text1"/>
        </w:rPr>
        <w:t>fall</w:t>
      </w:r>
      <w:r w:rsidRPr="000F386A">
        <w:rPr>
          <w:rFonts w:cstheme="minorHAnsi"/>
          <w:color w:val="000000" w:themeColor="text1"/>
        </w:rPr>
        <w:t xml:space="preserve"> 2017, the campus undertook a comprehensive revision of its GE</w:t>
      </w:r>
      <w:r w:rsidR="002F088A">
        <w:rPr>
          <w:rFonts w:cstheme="minorHAnsi"/>
          <w:color w:val="000000" w:themeColor="text1"/>
        </w:rPr>
        <w:t xml:space="preserve"> </w:t>
      </w:r>
      <w:r w:rsidRPr="000F386A">
        <w:rPr>
          <w:rFonts w:cstheme="minorHAnsi"/>
          <w:color w:val="000000" w:themeColor="text1"/>
        </w:rPr>
        <w:t>program.</w:t>
      </w:r>
      <w:r w:rsidR="00925B41">
        <w:rPr>
          <w:rFonts w:cstheme="minorHAnsi"/>
          <w:color w:val="000000" w:themeColor="text1"/>
        </w:rPr>
        <w:t xml:space="preserve"> </w:t>
      </w:r>
      <w:r w:rsidRPr="000F386A">
        <w:rPr>
          <w:rFonts w:cstheme="minorHAnsi"/>
          <w:color w:val="000000" w:themeColor="text1"/>
        </w:rPr>
        <w:t xml:space="preserve">The revision was approved by the </w:t>
      </w:r>
      <w:r w:rsidR="00F745AB">
        <w:rPr>
          <w:rFonts w:cstheme="minorHAnsi"/>
          <w:color w:val="000000" w:themeColor="text1"/>
        </w:rPr>
        <w:t>a</w:t>
      </w:r>
      <w:r w:rsidR="00F745AB" w:rsidRPr="000F386A">
        <w:rPr>
          <w:rFonts w:cstheme="minorHAnsi"/>
          <w:color w:val="000000" w:themeColor="text1"/>
        </w:rPr>
        <w:t xml:space="preserve">cademic </w:t>
      </w:r>
      <w:r w:rsidR="00F745AB">
        <w:rPr>
          <w:rFonts w:cstheme="minorHAnsi"/>
          <w:color w:val="000000" w:themeColor="text1"/>
        </w:rPr>
        <w:t>s</w:t>
      </w:r>
      <w:r w:rsidR="00F745AB" w:rsidRPr="000F386A">
        <w:rPr>
          <w:rFonts w:cstheme="minorHAnsi"/>
          <w:color w:val="000000" w:themeColor="text1"/>
        </w:rPr>
        <w:t xml:space="preserve">enate </w:t>
      </w:r>
      <w:r w:rsidRPr="000F386A">
        <w:rPr>
          <w:rFonts w:cstheme="minorHAnsi"/>
          <w:color w:val="000000" w:themeColor="text1"/>
        </w:rPr>
        <w:t xml:space="preserve">in </w:t>
      </w:r>
      <w:r w:rsidR="00390AEB">
        <w:rPr>
          <w:rFonts w:cstheme="minorHAnsi"/>
          <w:color w:val="000000" w:themeColor="text1"/>
        </w:rPr>
        <w:t>s</w:t>
      </w:r>
      <w:r w:rsidRPr="000F386A">
        <w:rPr>
          <w:rFonts w:cstheme="minorHAnsi"/>
          <w:color w:val="000000" w:themeColor="text1"/>
        </w:rPr>
        <w:t xml:space="preserve">pring 2019, and the new program was implemented in </w:t>
      </w:r>
      <w:r w:rsidR="00841753">
        <w:rPr>
          <w:rFonts w:cstheme="minorHAnsi"/>
          <w:color w:val="000000" w:themeColor="text1"/>
        </w:rPr>
        <w:t>fall</w:t>
      </w:r>
      <w:r w:rsidRPr="000F386A">
        <w:rPr>
          <w:rFonts w:cstheme="minorHAnsi"/>
          <w:color w:val="000000" w:themeColor="text1"/>
        </w:rPr>
        <w:t xml:space="preserve"> 2019.</w:t>
      </w:r>
      <w:r w:rsidR="00925B41">
        <w:rPr>
          <w:rFonts w:cstheme="minorHAnsi"/>
          <w:color w:val="000000" w:themeColor="text1"/>
        </w:rPr>
        <w:t xml:space="preserve"> </w:t>
      </w:r>
      <w:r w:rsidRPr="000F386A">
        <w:rPr>
          <w:rFonts w:cstheme="minorHAnsi"/>
          <w:color w:val="000000" w:themeColor="text1"/>
        </w:rPr>
        <w:t>One of the 13 new student learning outcomes focuses on the development of diverse cultural competencies.</w:t>
      </w:r>
      <w:r w:rsidR="00925B41">
        <w:rPr>
          <w:rFonts w:cstheme="minorHAnsi"/>
          <w:color w:val="000000" w:themeColor="text1"/>
        </w:rPr>
        <w:t xml:space="preserve"> </w:t>
      </w:r>
      <w:r w:rsidRPr="000F386A">
        <w:rPr>
          <w:rFonts w:cstheme="minorHAnsi"/>
          <w:color w:val="000000" w:themeColor="text1"/>
        </w:rPr>
        <w:t xml:space="preserve">Specifically, students are expected to be able to </w:t>
      </w:r>
      <w:r w:rsidRPr="000F386A">
        <w:rPr>
          <w:rFonts w:cstheme="minorHAnsi"/>
          <w:i/>
          <w:color w:val="000000" w:themeColor="text1"/>
        </w:rPr>
        <w:t>attain and apply knowledge of social power and difference in relations between self, other people, and social structures locally and nationally while honoring contributions of people of different identities</w:t>
      </w:r>
      <w:r w:rsidRPr="000F386A">
        <w:rPr>
          <w:rFonts w:cstheme="minorHAnsi"/>
          <w:color w:val="000000" w:themeColor="text1"/>
        </w:rPr>
        <w:t>.</w:t>
      </w:r>
      <w:r w:rsidR="00925B41">
        <w:rPr>
          <w:rFonts w:cstheme="minorHAnsi"/>
          <w:color w:val="000000" w:themeColor="text1"/>
        </w:rPr>
        <w:t xml:space="preserve"> </w:t>
      </w:r>
      <w:r w:rsidRPr="000F386A">
        <w:rPr>
          <w:rFonts w:cstheme="minorHAnsi"/>
          <w:color w:val="000000" w:themeColor="text1"/>
        </w:rPr>
        <w:t xml:space="preserve">The new GE program also requires all students to complete one </w:t>
      </w:r>
      <w:r w:rsidR="00F745AB">
        <w:rPr>
          <w:rFonts w:cstheme="minorHAnsi"/>
          <w:color w:val="000000" w:themeColor="text1"/>
        </w:rPr>
        <w:t>c</w:t>
      </w:r>
      <w:r w:rsidR="00F745AB" w:rsidRPr="000F386A">
        <w:rPr>
          <w:rFonts w:cstheme="minorHAnsi"/>
          <w:color w:val="000000" w:themeColor="text1"/>
        </w:rPr>
        <w:t xml:space="preserve">ritical </w:t>
      </w:r>
      <w:r w:rsidR="00F745AB">
        <w:rPr>
          <w:rFonts w:cstheme="minorHAnsi"/>
          <w:color w:val="000000" w:themeColor="text1"/>
        </w:rPr>
        <w:t>r</w:t>
      </w:r>
      <w:r w:rsidR="00F745AB" w:rsidRPr="000F386A">
        <w:rPr>
          <w:rFonts w:cstheme="minorHAnsi"/>
          <w:color w:val="000000" w:themeColor="text1"/>
        </w:rPr>
        <w:t xml:space="preserve">ace </w:t>
      </w:r>
      <w:r w:rsidR="00F745AB">
        <w:rPr>
          <w:rFonts w:cstheme="minorHAnsi"/>
          <w:color w:val="000000" w:themeColor="text1"/>
        </w:rPr>
        <w:t>s</w:t>
      </w:r>
      <w:r w:rsidR="00F745AB" w:rsidRPr="000F386A">
        <w:rPr>
          <w:rFonts w:cstheme="minorHAnsi"/>
          <w:color w:val="000000" w:themeColor="text1"/>
        </w:rPr>
        <w:t>tudies</w:t>
      </w:r>
      <w:r w:rsidR="00F745AB">
        <w:rPr>
          <w:rFonts w:cstheme="minorHAnsi"/>
          <w:color w:val="000000" w:themeColor="text1"/>
        </w:rPr>
        <w:t xml:space="preserve"> (CRS) </w:t>
      </w:r>
      <w:r w:rsidRPr="000F386A">
        <w:rPr>
          <w:rFonts w:cstheme="minorHAnsi"/>
          <w:color w:val="000000" w:themeColor="text1"/>
        </w:rPr>
        <w:t>course</w:t>
      </w:r>
      <w:r w:rsidR="000C62EC">
        <w:rPr>
          <w:rFonts w:cstheme="minorHAnsi"/>
          <w:color w:val="000000" w:themeColor="text1"/>
        </w:rPr>
        <w:t xml:space="preserve">, as part of SSU’s long-standing commitment to the teaching of </w:t>
      </w:r>
      <w:r w:rsidR="00F745AB">
        <w:rPr>
          <w:rFonts w:cstheme="minorHAnsi"/>
          <w:color w:val="000000" w:themeColor="text1"/>
        </w:rPr>
        <w:t>e</w:t>
      </w:r>
      <w:r w:rsidR="000C62EC">
        <w:rPr>
          <w:rFonts w:cstheme="minorHAnsi"/>
          <w:color w:val="000000" w:themeColor="text1"/>
        </w:rPr>
        <w:t xml:space="preserve">thnic </w:t>
      </w:r>
      <w:r w:rsidR="00F745AB">
        <w:rPr>
          <w:rFonts w:cstheme="minorHAnsi"/>
          <w:color w:val="000000" w:themeColor="text1"/>
        </w:rPr>
        <w:t>s</w:t>
      </w:r>
      <w:r w:rsidR="000C62EC">
        <w:rPr>
          <w:rFonts w:cstheme="minorHAnsi"/>
          <w:color w:val="000000" w:themeColor="text1"/>
        </w:rPr>
        <w:t>tudies</w:t>
      </w:r>
      <w:r w:rsidRPr="000F386A">
        <w:rPr>
          <w:rFonts w:cstheme="minorHAnsi"/>
          <w:color w:val="000000" w:themeColor="text1"/>
        </w:rPr>
        <w:t>.</w:t>
      </w:r>
      <w:r w:rsidR="00925B41">
        <w:rPr>
          <w:rFonts w:cstheme="minorHAnsi"/>
          <w:color w:val="000000" w:themeColor="text1"/>
        </w:rPr>
        <w:t xml:space="preserve"> </w:t>
      </w:r>
      <w:r w:rsidR="00F745AB">
        <w:rPr>
          <w:rFonts w:cstheme="minorHAnsi"/>
          <w:color w:val="000000" w:themeColor="text1"/>
          <w:highlight w:val="white"/>
        </w:rPr>
        <w:t>CRS</w:t>
      </w:r>
      <w:r w:rsidRPr="000F386A">
        <w:rPr>
          <w:rFonts w:cstheme="minorHAnsi"/>
          <w:color w:val="000000" w:themeColor="text1"/>
          <w:highlight w:val="white"/>
        </w:rPr>
        <w:t xml:space="preserve"> is an interdisciplinary field of study that seeks to understand the ways society is culturally and institutionally constituted by race and racism in relation to ethnicity, gender, sexuality, class, and nation.</w:t>
      </w:r>
      <w:r w:rsidRPr="000F386A">
        <w:rPr>
          <w:rFonts w:cstheme="minorHAnsi"/>
          <w:i/>
          <w:color w:val="000000" w:themeColor="text1"/>
          <w:highlight w:val="white"/>
        </w:rPr>
        <w:t xml:space="preserve"> </w:t>
      </w:r>
    </w:p>
    <w:p w14:paraId="770668E3" w14:textId="59CCAEAC" w:rsidR="00D73797" w:rsidRPr="00401166" w:rsidRDefault="00D73797" w:rsidP="0076707C">
      <w:pPr>
        <w:pStyle w:val="Heading3"/>
      </w:pPr>
      <w:r w:rsidRPr="00401166">
        <w:t>Co-Curricular Academic Support</w:t>
      </w:r>
      <w:r w:rsidR="0076707C">
        <w:br/>
      </w:r>
    </w:p>
    <w:p w14:paraId="4BF2B98F" w14:textId="11CFB5B5" w:rsidR="00D73797" w:rsidRPr="000F386A" w:rsidRDefault="00D73797" w:rsidP="00D73797">
      <w:pPr>
        <w:pBdr>
          <w:top w:val="nil"/>
          <w:left w:val="nil"/>
          <w:bottom w:val="nil"/>
          <w:right w:val="nil"/>
          <w:between w:val="nil"/>
        </w:pBdr>
        <w:spacing w:after="0" w:line="480" w:lineRule="auto"/>
        <w:ind w:firstLine="720"/>
        <w:rPr>
          <w:rFonts w:cstheme="minorHAnsi"/>
          <w:color w:val="000000" w:themeColor="text1"/>
        </w:rPr>
      </w:pPr>
      <w:r w:rsidRPr="000F386A">
        <w:rPr>
          <w:rFonts w:cstheme="minorHAnsi"/>
          <w:color w:val="000000" w:themeColor="text1"/>
        </w:rPr>
        <w:t xml:space="preserve">The </w:t>
      </w:r>
      <w:r w:rsidR="002F088A">
        <w:rPr>
          <w:rFonts w:cstheme="minorHAnsi"/>
          <w:color w:val="000000" w:themeColor="text1"/>
        </w:rPr>
        <w:t>c</w:t>
      </w:r>
      <w:r w:rsidR="002F088A" w:rsidRPr="000F386A">
        <w:rPr>
          <w:rFonts w:cstheme="minorHAnsi"/>
          <w:color w:val="000000" w:themeColor="text1"/>
        </w:rPr>
        <w:t xml:space="preserve">enter </w:t>
      </w:r>
      <w:r w:rsidRPr="000F386A">
        <w:rPr>
          <w:rFonts w:cstheme="minorHAnsi"/>
          <w:color w:val="000000" w:themeColor="text1"/>
        </w:rPr>
        <w:t xml:space="preserve">for </w:t>
      </w:r>
      <w:r w:rsidR="002F088A">
        <w:rPr>
          <w:rFonts w:cstheme="minorHAnsi"/>
          <w:color w:val="000000" w:themeColor="text1"/>
        </w:rPr>
        <w:t>a</w:t>
      </w:r>
      <w:r w:rsidR="002F088A" w:rsidRPr="000F386A">
        <w:rPr>
          <w:rFonts w:cstheme="minorHAnsi"/>
          <w:color w:val="000000" w:themeColor="text1"/>
        </w:rPr>
        <w:t xml:space="preserve">cademic </w:t>
      </w:r>
      <w:r w:rsidR="002F088A">
        <w:rPr>
          <w:rFonts w:cstheme="minorHAnsi"/>
          <w:color w:val="000000" w:themeColor="text1"/>
        </w:rPr>
        <w:t>s</w:t>
      </w:r>
      <w:r w:rsidR="002F088A" w:rsidRPr="000F386A">
        <w:rPr>
          <w:rFonts w:cstheme="minorHAnsi"/>
          <w:color w:val="000000" w:themeColor="text1"/>
        </w:rPr>
        <w:t xml:space="preserve">uccess </w:t>
      </w:r>
      <w:r w:rsidRPr="000F386A">
        <w:rPr>
          <w:rFonts w:cstheme="minorHAnsi"/>
          <w:color w:val="000000" w:themeColor="text1"/>
        </w:rPr>
        <w:t xml:space="preserve">and </w:t>
      </w:r>
      <w:r w:rsidR="002F088A">
        <w:rPr>
          <w:rFonts w:cstheme="minorHAnsi"/>
          <w:color w:val="000000" w:themeColor="text1"/>
        </w:rPr>
        <w:t>s</w:t>
      </w:r>
      <w:r w:rsidR="002F088A" w:rsidRPr="000F386A">
        <w:rPr>
          <w:rFonts w:cstheme="minorHAnsi"/>
          <w:color w:val="000000" w:themeColor="text1"/>
        </w:rPr>
        <w:t xml:space="preserve">tudent </w:t>
      </w:r>
      <w:r w:rsidR="002F088A">
        <w:rPr>
          <w:rFonts w:cstheme="minorHAnsi"/>
          <w:color w:val="000000" w:themeColor="text1"/>
        </w:rPr>
        <w:t>e</w:t>
      </w:r>
      <w:r w:rsidR="002F088A" w:rsidRPr="000F386A">
        <w:rPr>
          <w:rFonts w:cstheme="minorHAnsi"/>
          <w:color w:val="000000" w:themeColor="text1"/>
        </w:rPr>
        <w:t xml:space="preserve">nrichment </w:t>
      </w:r>
      <w:r w:rsidR="00A15A0A">
        <w:rPr>
          <w:rFonts w:cstheme="minorHAnsi"/>
          <w:color w:val="000000" w:themeColor="text1"/>
        </w:rPr>
        <w:t>(CAASE) was formed in s</w:t>
      </w:r>
      <w:r w:rsidRPr="000F386A">
        <w:rPr>
          <w:rFonts w:cstheme="minorHAnsi"/>
          <w:color w:val="000000" w:themeColor="text1"/>
        </w:rPr>
        <w:t>ummer 2018</w:t>
      </w:r>
      <w:r w:rsidRPr="000F386A">
        <w:rPr>
          <w:rFonts w:cstheme="minorHAnsi"/>
          <w:color w:val="000000" w:themeColor="text1"/>
          <w:highlight w:val="white"/>
        </w:rPr>
        <w:t xml:space="preserve"> to provide SSU’s underrepresented and underserved students with resources to persist and graduate.</w:t>
      </w:r>
      <w:r w:rsidR="00925B41">
        <w:rPr>
          <w:rFonts w:cstheme="minorHAnsi"/>
          <w:color w:val="000000" w:themeColor="text1"/>
          <w:highlight w:val="white"/>
        </w:rPr>
        <w:t xml:space="preserve"> </w:t>
      </w:r>
      <w:r w:rsidRPr="000F386A">
        <w:rPr>
          <w:rFonts w:cstheme="minorHAnsi"/>
          <w:color w:val="000000" w:themeColor="text1"/>
          <w:highlight w:val="white"/>
        </w:rPr>
        <w:lastRenderedPageBreak/>
        <w:t xml:space="preserve">The restructuring has consolidated the following programs into one centrally located facility: </w:t>
      </w:r>
      <w:r w:rsidR="00F745AB">
        <w:rPr>
          <w:rFonts w:cstheme="minorHAnsi"/>
          <w:color w:val="000000" w:themeColor="text1"/>
        </w:rPr>
        <w:t>d</w:t>
      </w:r>
      <w:r w:rsidR="00F745AB" w:rsidRPr="000F386A">
        <w:rPr>
          <w:rFonts w:cstheme="minorHAnsi"/>
          <w:color w:val="000000" w:themeColor="text1"/>
        </w:rPr>
        <w:t xml:space="preserve">isability </w:t>
      </w:r>
      <w:r w:rsidR="00F745AB">
        <w:rPr>
          <w:rFonts w:cstheme="minorHAnsi"/>
          <w:color w:val="000000" w:themeColor="text1"/>
        </w:rPr>
        <w:t>s</w:t>
      </w:r>
      <w:r w:rsidR="00F745AB" w:rsidRPr="000F386A">
        <w:rPr>
          <w:rFonts w:cstheme="minorHAnsi"/>
          <w:color w:val="000000" w:themeColor="text1"/>
        </w:rPr>
        <w:t xml:space="preserve">ervices </w:t>
      </w:r>
      <w:r w:rsidRPr="000F386A">
        <w:rPr>
          <w:rFonts w:cstheme="minorHAnsi"/>
          <w:color w:val="000000" w:themeColor="text1"/>
        </w:rPr>
        <w:t xml:space="preserve">for </w:t>
      </w:r>
      <w:r w:rsidR="00F745AB">
        <w:rPr>
          <w:rFonts w:cstheme="minorHAnsi"/>
          <w:color w:val="000000" w:themeColor="text1"/>
        </w:rPr>
        <w:t>s</w:t>
      </w:r>
      <w:r w:rsidR="00F745AB" w:rsidRPr="000F386A">
        <w:rPr>
          <w:rFonts w:cstheme="minorHAnsi"/>
          <w:color w:val="000000" w:themeColor="text1"/>
        </w:rPr>
        <w:t>tudents</w:t>
      </w:r>
      <w:r w:rsidR="002F088A">
        <w:rPr>
          <w:rFonts w:cstheme="minorHAnsi"/>
          <w:color w:val="000000" w:themeColor="text1"/>
        </w:rPr>
        <w:t xml:space="preserve"> (DSS)</w:t>
      </w:r>
      <w:r w:rsidRPr="000F386A">
        <w:rPr>
          <w:rFonts w:cstheme="minorHAnsi"/>
          <w:color w:val="000000" w:themeColor="text1"/>
        </w:rPr>
        <w:t xml:space="preserve">, </w:t>
      </w:r>
      <w:r w:rsidR="00F745AB">
        <w:rPr>
          <w:rFonts w:cstheme="minorHAnsi"/>
          <w:color w:val="000000" w:themeColor="text1"/>
        </w:rPr>
        <w:t>d</w:t>
      </w:r>
      <w:r w:rsidR="00F745AB" w:rsidRPr="000F386A">
        <w:rPr>
          <w:rFonts w:cstheme="minorHAnsi"/>
          <w:color w:val="000000" w:themeColor="text1"/>
        </w:rPr>
        <w:t xml:space="preserve">ream </w:t>
      </w:r>
      <w:r w:rsidR="00F745AB">
        <w:rPr>
          <w:rFonts w:cstheme="minorHAnsi"/>
          <w:color w:val="000000" w:themeColor="text1"/>
        </w:rPr>
        <w:t>c</w:t>
      </w:r>
      <w:r w:rsidR="00F745AB" w:rsidRPr="000F386A">
        <w:rPr>
          <w:rFonts w:cstheme="minorHAnsi"/>
          <w:color w:val="000000" w:themeColor="text1"/>
        </w:rPr>
        <w:t>enter</w:t>
      </w:r>
      <w:r w:rsidRPr="000F386A">
        <w:rPr>
          <w:rFonts w:cstheme="minorHAnsi"/>
          <w:color w:val="000000" w:themeColor="text1"/>
        </w:rPr>
        <w:t xml:space="preserve">, </w:t>
      </w:r>
      <w:r w:rsidR="00F745AB">
        <w:rPr>
          <w:rFonts w:cstheme="minorHAnsi"/>
          <w:color w:val="000000" w:themeColor="text1"/>
        </w:rPr>
        <w:t>e</w:t>
      </w:r>
      <w:r w:rsidR="00F745AB" w:rsidRPr="000F386A">
        <w:rPr>
          <w:rFonts w:cstheme="minorHAnsi"/>
          <w:color w:val="000000" w:themeColor="text1"/>
        </w:rPr>
        <w:t xml:space="preserve">ducational </w:t>
      </w:r>
      <w:r w:rsidR="00F745AB">
        <w:rPr>
          <w:rFonts w:cstheme="minorHAnsi"/>
          <w:color w:val="000000" w:themeColor="text1"/>
        </w:rPr>
        <w:t>o</w:t>
      </w:r>
      <w:r w:rsidR="00F745AB" w:rsidRPr="000F386A">
        <w:rPr>
          <w:rFonts w:cstheme="minorHAnsi"/>
          <w:color w:val="000000" w:themeColor="text1"/>
        </w:rPr>
        <w:t xml:space="preserve">pportunity </w:t>
      </w:r>
      <w:r w:rsidR="00F745AB">
        <w:rPr>
          <w:rFonts w:cstheme="minorHAnsi"/>
          <w:color w:val="000000" w:themeColor="text1"/>
        </w:rPr>
        <w:t>p</w:t>
      </w:r>
      <w:r w:rsidR="00F745AB" w:rsidRPr="000F386A">
        <w:rPr>
          <w:rFonts w:cstheme="minorHAnsi"/>
          <w:color w:val="000000" w:themeColor="text1"/>
        </w:rPr>
        <w:t>rogram</w:t>
      </w:r>
      <w:r w:rsidRPr="000F386A">
        <w:rPr>
          <w:rFonts w:cstheme="minorHAnsi"/>
          <w:color w:val="000000" w:themeColor="text1"/>
        </w:rPr>
        <w:t xml:space="preserve">, PUERTA, </w:t>
      </w:r>
      <w:proofErr w:type="spellStart"/>
      <w:r w:rsidR="00F745AB">
        <w:rPr>
          <w:rFonts w:cstheme="minorHAnsi"/>
          <w:color w:val="000000" w:themeColor="text1"/>
        </w:rPr>
        <w:t>s</w:t>
      </w:r>
      <w:r w:rsidR="00F745AB" w:rsidRPr="000F386A">
        <w:rPr>
          <w:rFonts w:cstheme="minorHAnsi"/>
          <w:color w:val="000000" w:themeColor="text1"/>
        </w:rPr>
        <w:t>eawolf</w:t>
      </w:r>
      <w:proofErr w:type="spellEnd"/>
      <w:r w:rsidR="00F745AB" w:rsidRPr="000F386A">
        <w:rPr>
          <w:rFonts w:cstheme="minorHAnsi"/>
          <w:color w:val="000000" w:themeColor="text1"/>
        </w:rPr>
        <w:t xml:space="preserve"> </w:t>
      </w:r>
      <w:r w:rsidR="00F745AB">
        <w:rPr>
          <w:rFonts w:cstheme="minorHAnsi"/>
          <w:color w:val="000000" w:themeColor="text1"/>
        </w:rPr>
        <w:t>s</w:t>
      </w:r>
      <w:r w:rsidR="00F745AB" w:rsidRPr="000F386A">
        <w:rPr>
          <w:rFonts w:cstheme="minorHAnsi"/>
          <w:color w:val="000000" w:themeColor="text1"/>
        </w:rPr>
        <w:t>cholars</w:t>
      </w:r>
      <w:r w:rsidRPr="000F386A">
        <w:rPr>
          <w:rFonts w:cstheme="minorHAnsi"/>
          <w:color w:val="000000" w:themeColor="text1"/>
        </w:rPr>
        <w:t xml:space="preserve">, and </w:t>
      </w:r>
      <w:r w:rsidR="00F745AB">
        <w:rPr>
          <w:rFonts w:cstheme="minorHAnsi"/>
          <w:color w:val="000000" w:themeColor="text1"/>
        </w:rPr>
        <w:t>s</w:t>
      </w:r>
      <w:r w:rsidR="00F745AB" w:rsidRPr="000F386A">
        <w:rPr>
          <w:rFonts w:cstheme="minorHAnsi"/>
          <w:color w:val="000000" w:themeColor="text1"/>
        </w:rPr>
        <w:t xml:space="preserve">tudent </w:t>
      </w:r>
      <w:r w:rsidR="00F745AB">
        <w:rPr>
          <w:rFonts w:cstheme="minorHAnsi"/>
          <w:color w:val="000000" w:themeColor="text1"/>
        </w:rPr>
        <w:t>s</w:t>
      </w:r>
      <w:r w:rsidR="00F745AB" w:rsidRPr="000F386A">
        <w:rPr>
          <w:rFonts w:cstheme="minorHAnsi"/>
          <w:color w:val="000000" w:themeColor="text1"/>
        </w:rPr>
        <w:t xml:space="preserve">upport </w:t>
      </w:r>
      <w:r w:rsidR="00F745AB">
        <w:rPr>
          <w:rFonts w:cstheme="minorHAnsi"/>
          <w:color w:val="000000" w:themeColor="text1"/>
        </w:rPr>
        <w:t>s</w:t>
      </w:r>
      <w:r w:rsidR="00F745AB" w:rsidRPr="000F386A">
        <w:rPr>
          <w:rFonts w:cstheme="minorHAnsi"/>
          <w:color w:val="000000" w:themeColor="text1"/>
        </w:rPr>
        <w:t>ervices</w:t>
      </w:r>
      <w:r w:rsidR="00F745AB">
        <w:rPr>
          <w:rFonts w:cstheme="minorHAnsi"/>
          <w:color w:val="000000" w:themeColor="text1"/>
        </w:rPr>
        <w:t xml:space="preserve"> </w:t>
      </w:r>
      <w:r w:rsidR="0088756E">
        <w:rPr>
          <w:rFonts w:cstheme="minorHAnsi"/>
          <w:color w:val="000000" w:themeColor="text1"/>
        </w:rPr>
        <w:t>(</w:t>
      </w:r>
      <w:r w:rsidR="002F088A">
        <w:rPr>
          <w:rFonts w:cstheme="minorHAnsi"/>
          <w:color w:val="000000" w:themeColor="text1"/>
        </w:rPr>
        <w:t>s</w:t>
      </w:r>
      <w:r w:rsidR="0088756E">
        <w:rPr>
          <w:rFonts w:cstheme="minorHAnsi"/>
          <w:color w:val="000000" w:themeColor="text1"/>
        </w:rPr>
        <w:t xml:space="preserve">ee </w:t>
      </w:r>
      <w:r w:rsidR="000C3992">
        <w:rPr>
          <w:rFonts w:cstheme="minorHAnsi"/>
          <w:color w:val="000000" w:themeColor="text1"/>
        </w:rPr>
        <w:t xml:space="preserve">the </w:t>
      </w:r>
      <w:r w:rsidR="00F745AB">
        <w:rPr>
          <w:rFonts w:cstheme="minorHAnsi"/>
          <w:color w:val="000000" w:themeColor="text1"/>
        </w:rPr>
        <w:t xml:space="preserve">response </w:t>
      </w:r>
      <w:r w:rsidR="000C3992">
        <w:rPr>
          <w:rFonts w:cstheme="minorHAnsi"/>
          <w:color w:val="000000" w:themeColor="text1"/>
        </w:rPr>
        <w:t xml:space="preserve">to </w:t>
      </w:r>
      <w:r w:rsidR="00F745AB">
        <w:rPr>
          <w:rFonts w:cstheme="minorHAnsi"/>
          <w:color w:val="000000" w:themeColor="text1"/>
        </w:rPr>
        <w:t xml:space="preserve">recommendation </w:t>
      </w:r>
      <w:r w:rsidR="000C3992">
        <w:rPr>
          <w:rFonts w:cstheme="minorHAnsi"/>
          <w:color w:val="000000" w:themeColor="text1"/>
        </w:rPr>
        <w:t>7 below).</w:t>
      </w:r>
    </w:p>
    <w:p w14:paraId="6DBDEF3B" w14:textId="1C55DEB8" w:rsidR="00D73797" w:rsidRPr="00401166" w:rsidRDefault="00D73797" w:rsidP="0076707C">
      <w:pPr>
        <w:pStyle w:val="Heading3"/>
        <w:rPr>
          <w:highlight w:val="white"/>
        </w:rPr>
      </w:pPr>
      <w:r w:rsidRPr="00401166">
        <w:rPr>
          <w:highlight w:val="white"/>
        </w:rPr>
        <w:t>Assessment and Evaluation</w:t>
      </w:r>
      <w:r w:rsidR="0076707C">
        <w:rPr>
          <w:highlight w:val="white"/>
        </w:rPr>
        <w:br/>
      </w:r>
    </w:p>
    <w:p w14:paraId="64D13E1D" w14:textId="0B0013A5" w:rsidR="00D73797" w:rsidRPr="00064D2C" w:rsidRDefault="00D73797" w:rsidP="00064D2C">
      <w:pPr>
        <w:pBdr>
          <w:top w:val="nil"/>
          <w:left w:val="nil"/>
          <w:bottom w:val="nil"/>
          <w:right w:val="nil"/>
          <w:between w:val="nil"/>
        </w:pBdr>
        <w:spacing w:after="0" w:line="480" w:lineRule="auto"/>
        <w:ind w:firstLine="720"/>
        <w:rPr>
          <w:rFonts w:cstheme="minorHAnsi"/>
          <w:color w:val="000000" w:themeColor="text1"/>
        </w:rPr>
      </w:pPr>
      <w:r w:rsidRPr="000F386A">
        <w:rPr>
          <w:rFonts w:cstheme="minorHAnsi"/>
          <w:color w:val="000000" w:themeColor="text1"/>
          <w:highlight w:val="white"/>
        </w:rPr>
        <w:t>The campus has greatly increased its use of data tools to investigate where student achievement and equity gaps occur, so efforts can be focused on closing those known gaps.</w:t>
      </w:r>
      <w:r w:rsidR="00925B41">
        <w:rPr>
          <w:rFonts w:cstheme="minorHAnsi"/>
          <w:color w:val="000000" w:themeColor="text1"/>
          <w:highlight w:val="white"/>
        </w:rPr>
        <w:t xml:space="preserve"> </w:t>
      </w:r>
      <w:r w:rsidRPr="000F386A">
        <w:rPr>
          <w:rFonts w:cstheme="minorHAnsi"/>
          <w:color w:val="000000" w:themeColor="text1"/>
          <w:highlight w:val="white"/>
        </w:rPr>
        <w:t xml:space="preserve">The August 2019 </w:t>
      </w:r>
      <w:r w:rsidR="00F745AB">
        <w:rPr>
          <w:rFonts w:cstheme="minorHAnsi"/>
          <w:color w:val="000000" w:themeColor="text1"/>
          <w:highlight w:val="white"/>
        </w:rPr>
        <w:t>c</w:t>
      </w:r>
      <w:r w:rsidR="00F745AB" w:rsidRPr="000F386A">
        <w:rPr>
          <w:rFonts w:cstheme="minorHAnsi"/>
          <w:color w:val="000000" w:themeColor="text1"/>
          <w:highlight w:val="white"/>
        </w:rPr>
        <w:t xml:space="preserve">ampus </w:t>
      </w:r>
      <w:r w:rsidR="00F745AB">
        <w:rPr>
          <w:rFonts w:cstheme="minorHAnsi"/>
          <w:color w:val="000000" w:themeColor="text1"/>
          <w:highlight w:val="white"/>
        </w:rPr>
        <w:t>e</w:t>
      </w:r>
      <w:r w:rsidR="00F745AB" w:rsidRPr="000F386A">
        <w:rPr>
          <w:rFonts w:cstheme="minorHAnsi"/>
          <w:color w:val="000000" w:themeColor="text1"/>
          <w:highlight w:val="white"/>
        </w:rPr>
        <w:t xml:space="preserve">quity </w:t>
      </w:r>
      <w:r w:rsidR="00F745AB">
        <w:rPr>
          <w:rFonts w:cstheme="minorHAnsi"/>
          <w:color w:val="000000" w:themeColor="text1"/>
          <w:highlight w:val="white"/>
        </w:rPr>
        <w:t>r</w:t>
      </w:r>
      <w:r w:rsidR="00F745AB" w:rsidRPr="000F386A">
        <w:rPr>
          <w:rFonts w:cstheme="minorHAnsi"/>
          <w:color w:val="000000" w:themeColor="text1"/>
          <w:highlight w:val="white"/>
        </w:rPr>
        <w:t xml:space="preserve">eport </w:t>
      </w:r>
      <w:r w:rsidRPr="000F386A">
        <w:rPr>
          <w:rFonts w:cstheme="minorHAnsi"/>
          <w:color w:val="000000" w:themeColor="text1"/>
          <w:highlight w:val="white"/>
        </w:rPr>
        <w:t>is an example of the data analysis that is now supporting continuous improvements toward SSU’s GI2025 goals</w:t>
      </w:r>
      <w:r w:rsidR="002F088A">
        <w:rPr>
          <w:rFonts w:cstheme="minorHAnsi"/>
          <w:color w:val="000000" w:themeColor="text1"/>
          <w:highlight w:val="white"/>
        </w:rPr>
        <w:t xml:space="preserve"> (see appendix 6 for a link to the diversity equity report)</w:t>
      </w:r>
      <w:r w:rsidRPr="000F386A">
        <w:rPr>
          <w:rFonts w:cstheme="minorHAnsi"/>
          <w:color w:val="000000" w:themeColor="text1"/>
          <w:highlight w:val="white"/>
        </w:rPr>
        <w:t>.</w:t>
      </w:r>
      <w:r w:rsidR="00925B41">
        <w:rPr>
          <w:rFonts w:cstheme="minorHAnsi"/>
          <w:color w:val="000000" w:themeColor="text1"/>
          <w:highlight w:val="white"/>
        </w:rPr>
        <w:t xml:space="preserve"> </w:t>
      </w:r>
      <w:r w:rsidRPr="000F386A">
        <w:rPr>
          <w:rFonts w:cstheme="minorHAnsi"/>
          <w:color w:val="000000" w:themeColor="text1"/>
        </w:rPr>
        <w:t>For example</w:t>
      </w:r>
      <w:r w:rsidR="00064D2C">
        <w:rPr>
          <w:rFonts w:cstheme="minorHAnsi"/>
          <w:color w:val="000000" w:themeColor="text1"/>
          <w:highlight w:val="white"/>
        </w:rPr>
        <w:t>, t</w:t>
      </w:r>
      <w:r w:rsidRPr="00064D2C">
        <w:rPr>
          <w:rFonts w:cstheme="minorHAnsi"/>
          <w:color w:val="000000" w:themeColor="text1"/>
          <w:highlight w:val="white"/>
        </w:rPr>
        <w:t>he campus has been improving its student success metrics as a part of the CSU’s GI2025.</w:t>
      </w:r>
      <w:r w:rsidR="00925B41" w:rsidRPr="00064D2C">
        <w:rPr>
          <w:rFonts w:cstheme="minorHAnsi"/>
          <w:color w:val="000000" w:themeColor="text1"/>
          <w:highlight w:val="white"/>
        </w:rPr>
        <w:t xml:space="preserve"> </w:t>
      </w:r>
      <w:r w:rsidRPr="00064D2C">
        <w:rPr>
          <w:rFonts w:cstheme="minorHAnsi"/>
          <w:color w:val="000000" w:themeColor="text1"/>
          <w:highlight w:val="white"/>
        </w:rPr>
        <w:t>SSU has the highest transfer student graduation rate in the CSU, and the campus is making good progress on improving the first-time</w:t>
      </w:r>
      <w:r w:rsidR="00F61959" w:rsidRPr="00064D2C">
        <w:rPr>
          <w:rFonts w:cstheme="minorHAnsi"/>
          <w:color w:val="000000" w:themeColor="text1"/>
          <w:highlight w:val="white"/>
        </w:rPr>
        <w:t>,</w:t>
      </w:r>
      <w:r w:rsidRPr="00064D2C">
        <w:rPr>
          <w:rFonts w:cstheme="minorHAnsi"/>
          <w:color w:val="000000" w:themeColor="text1"/>
          <w:highlight w:val="white"/>
        </w:rPr>
        <w:t xml:space="preserve"> first-year student graduation rate</w:t>
      </w:r>
      <w:r w:rsidR="000C62EC" w:rsidRPr="00064D2C">
        <w:rPr>
          <w:rFonts w:cstheme="minorHAnsi"/>
          <w:color w:val="000000" w:themeColor="text1"/>
          <w:highlight w:val="white"/>
        </w:rPr>
        <w:t xml:space="preserve"> and closing equity gaps for underrepresented and low-income students</w:t>
      </w:r>
      <w:r w:rsidRPr="00064D2C">
        <w:rPr>
          <w:rFonts w:cstheme="minorHAnsi"/>
          <w:color w:val="000000" w:themeColor="text1"/>
          <w:highlight w:val="white"/>
        </w:rPr>
        <w:t>.</w:t>
      </w:r>
      <w:r w:rsidR="00925B41" w:rsidRPr="00064D2C">
        <w:rPr>
          <w:rFonts w:cstheme="minorHAnsi"/>
          <w:color w:val="000000" w:themeColor="text1"/>
          <w:highlight w:val="white"/>
        </w:rPr>
        <w:t xml:space="preserve"> </w:t>
      </w:r>
    </w:p>
    <w:p w14:paraId="4A48D752" w14:textId="254DF157" w:rsidR="00D73797" w:rsidRPr="00401166" w:rsidRDefault="00D73797" w:rsidP="0076707C">
      <w:pPr>
        <w:pStyle w:val="Heading3"/>
      </w:pPr>
      <w:r w:rsidRPr="00401166">
        <w:t xml:space="preserve">Curricular Design </w:t>
      </w:r>
      <w:r w:rsidR="0076707C">
        <w:br/>
      </w:r>
    </w:p>
    <w:p w14:paraId="7E85626D" w14:textId="2963F266" w:rsidR="00064D2C" w:rsidRDefault="00D73797" w:rsidP="003F74E5">
      <w:pPr>
        <w:pBdr>
          <w:top w:val="nil"/>
          <w:left w:val="nil"/>
          <w:bottom w:val="nil"/>
          <w:right w:val="nil"/>
          <w:between w:val="nil"/>
        </w:pBdr>
        <w:spacing w:line="480" w:lineRule="auto"/>
        <w:ind w:firstLine="720"/>
        <w:contextualSpacing/>
        <w:rPr>
          <w:rFonts w:cstheme="minorHAnsi"/>
          <w:iCs/>
          <w:color w:val="000000" w:themeColor="text1"/>
          <w:u w:val="single"/>
        </w:rPr>
      </w:pPr>
      <w:r w:rsidRPr="000F386A">
        <w:rPr>
          <w:rFonts w:cstheme="minorHAnsi"/>
          <w:color w:val="000000" w:themeColor="text1"/>
        </w:rPr>
        <w:t xml:space="preserve">In September 2020, SSU created a new </w:t>
      </w:r>
      <w:r w:rsidR="00F745AB">
        <w:rPr>
          <w:rFonts w:cstheme="minorHAnsi"/>
          <w:color w:val="000000" w:themeColor="text1"/>
        </w:rPr>
        <w:t>f</w:t>
      </w:r>
      <w:r w:rsidR="00F745AB" w:rsidRPr="000F386A">
        <w:rPr>
          <w:rFonts w:cstheme="minorHAnsi"/>
          <w:color w:val="000000" w:themeColor="text1"/>
        </w:rPr>
        <w:t xml:space="preserve">aculty </w:t>
      </w:r>
      <w:r w:rsidR="00F745AB">
        <w:rPr>
          <w:rFonts w:cstheme="minorHAnsi"/>
          <w:color w:val="000000" w:themeColor="text1"/>
        </w:rPr>
        <w:t>f</w:t>
      </w:r>
      <w:r w:rsidR="00F745AB" w:rsidRPr="000F386A">
        <w:rPr>
          <w:rFonts w:cstheme="minorHAnsi"/>
          <w:color w:val="000000" w:themeColor="text1"/>
        </w:rPr>
        <w:t xml:space="preserve">ellow </w:t>
      </w:r>
      <w:r w:rsidRPr="000F386A">
        <w:rPr>
          <w:rFonts w:cstheme="minorHAnsi"/>
          <w:color w:val="000000" w:themeColor="text1"/>
        </w:rPr>
        <w:t>position to expand diversity efforts in curricular design.</w:t>
      </w:r>
      <w:r w:rsidR="00925B41">
        <w:rPr>
          <w:rFonts w:cstheme="minorHAnsi"/>
          <w:color w:val="000000" w:themeColor="text1"/>
        </w:rPr>
        <w:t xml:space="preserve"> </w:t>
      </w:r>
      <w:r w:rsidRPr="000F386A">
        <w:rPr>
          <w:rFonts w:cstheme="minorHAnsi"/>
          <w:color w:val="000000" w:themeColor="text1"/>
        </w:rPr>
        <w:t xml:space="preserve">The </w:t>
      </w:r>
      <w:r w:rsidR="00F745AB">
        <w:rPr>
          <w:rFonts w:cstheme="minorHAnsi"/>
          <w:color w:val="000000" w:themeColor="text1"/>
        </w:rPr>
        <w:t>f</w:t>
      </w:r>
      <w:r w:rsidR="00F745AB" w:rsidRPr="000F386A">
        <w:rPr>
          <w:rFonts w:cstheme="minorHAnsi"/>
          <w:color w:val="000000" w:themeColor="text1"/>
        </w:rPr>
        <w:t xml:space="preserve">aculty </w:t>
      </w:r>
      <w:r w:rsidR="00F745AB">
        <w:rPr>
          <w:rFonts w:cstheme="minorHAnsi"/>
          <w:color w:val="000000" w:themeColor="text1"/>
        </w:rPr>
        <w:t>f</w:t>
      </w:r>
      <w:r w:rsidR="00F745AB" w:rsidRPr="000F386A">
        <w:rPr>
          <w:rFonts w:cstheme="minorHAnsi"/>
          <w:color w:val="000000" w:themeColor="text1"/>
        </w:rPr>
        <w:t xml:space="preserve">ellow </w:t>
      </w:r>
      <w:r w:rsidRPr="000F386A">
        <w:rPr>
          <w:rFonts w:cstheme="minorHAnsi"/>
          <w:color w:val="000000" w:themeColor="text1"/>
        </w:rPr>
        <w:t xml:space="preserve">for </w:t>
      </w:r>
      <w:r w:rsidR="00F745AB">
        <w:rPr>
          <w:rFonts w:cstheme="minorHAnsi"/>
          <w:color w:val="000000" w:themeColor="text1"/>
        </w:rPr>
        <w:t>a</w:t>
      </w:r>
      <w:r w:rsidR="00F745AB" w:rsidRPr="000F386A">
        <w:rPr>
          <w:rFonts w:cstheme="minorHAnsi"/>
          <w:color w:val="000000" w:themeColor="text1"/>
        </w:rPr>
        <w:t>nti</w:t>
      </w:r>
      <w:r w:rsidRPr="000F386A">
        <w:rPr>
          <w:rFonts w:cstheme="minorHAnsi"/>
          <w:color w:val="000000" w:themeColor="text1"/>
        </w:rPr>
        <w:t>-</w:t>
      </w:r>
      <w:r w:rsidR="00F745AB">
        <w:rPr>
          <w:rFonts w:cstheme="minorHAnsi"/>
          <w:color w:val="000000" w:themeColor="text1"/>
        </w:rPr>
        <w:t>r</w:t>
      </w:r>
      <w:r w:rsidR="00F745AB" w:rsidRPr="000F386A">
        <w:rPr>
          <w:rFonts w:cstheme="minorHAnsi"/>
          <w:color w:val="000000" w:themeColor="text1"/>
        </w:rPr>
        <w:t xml:space="preserve">acist </w:t>
      </w:r>
      <w:r w:rsidR="00F745AB">
        <w:rPr>
          <w:rFonts w:cstheme="minorHAnsi"/>
          <w:color w:val="000000" w:themeColor="text1"/>
        </w:rPr>
        <w:t>c</w:t>
      </w:r>
      <w:r w:rsidR="00F745AB" w:rsidRPr="000F386A">
        <w:rPr>
          <w:rFonts w:cstheme="minorHAnsi"/>
          <w:color w:val="000000" w:themeColor="text1"/>
        </w:rPr>
        <w:t xml:space="preserve">urricular </w:t>
      </w:r>
      <w:r w:rsidR="00F745AB">
        <w:rPr>
          <w:rFonts w:cstheme="minorHAnsi"/>
          <w:color w:val="000000" w:themeColor="text1"/>
        </w:rPr>
        <w:t>d</w:t>
      </w:r>
      <w:r w:rsidR="00F745AB" w:rsidRPr="000F386A">
        <w:rPr>
          <w:rFonts w:cstheme="minorHAnsi"/>
          <w:color w:val="000000" w:themeColor="text1"/>
        </w:rPr>
        <w:t xml:space="preserve">esign </w:t>
      </w:r>
      <w:r w:rsidRPr="000F386A">
        <w:rPr>
          <w:rFonts w:cstheme="minorHAnsi"/>
          <w:color w:val="000000" w:themeColor="text1"/>
        </w:rPr>
        <w:t>is responsible for providing guidance on racial and social justice curriculum and supporting the work of academic departments to do curricular reform addressing student equity and achievement (i.e., student learning, enrollment, academic progress, persistence, and graduation).</w:t>
      </w:r>
      <w:r w:rsidR="00925B41">
        <w:rPr>
          <w:rFonts w:cstheme="minorHAnsi"/>
          <w:color w:val="000000" w:themeColor="text1"/>
        </w:rPr>
        <w:t xml:space="preserve"> </w:t>
      </w:r>
    </w:p>
    <w:p w14:paraId="30450518" w14:textId="3A306ECC" w:rsidR="00D73797" w:rsidRPr="00401166" w:rsidRDefault="00D73797" w:rsidP="0076707C">
      <w:pPr>
        <w:pStyle w:val="Heading3"/>
      </w:pPr>
      <w:r w:rsidRPr="00401166">
        <w:t>Male Success Initiative</w:t>
      </w:r>
      <w:r w:rsidR="0076707C">
        <w:br/>
      </w:r>
    </w:p>
    <w:p w14:paraId="62E13937" w14:textId="6CF8C99F" w:rsidR="00D73797" w:rsidRPr="000F386A" w:rsidRDefault="00D73797" w:rsidP="00D73797">
      <w:pPr>
        <w:pBdr>
          <w:top w:val="nil"/>
          <w:left w:val="nil"/>
          <w:bottom w:val="nil"/>
          <w:right w:val="nil"/>
          <w:between w:val="nil"/>
        </w:pBdr>
        <w:spacing w:line="480" w:lineRule="auto"/>
        <w:contextualSpacing/>
        <w:rPr>
          <w:rFonts w:cstheme="minorHAnsi"/>
          <w:color w:val="000000" w:themeColor="text1"/>
        </w:rPr>
      </w:pPr>
      <w:r w:rsidRPr="000F386A">
        <w:rPr>
          <w:rFonts w:cstheme="minorHAnsi"/>
          <w:color w:val="000000" w:themeColor="text1"/>
        </w:rPr>
        <w:tab/>
        <w:t>The program framework</w:t>
      </w:r>
      <w:r w:rsidR="00354D18">
        <w:rPr>
          <w:rFonts w:cstheme="minorHAnsi"/>
          <w:color w:val="000000" w:themeColor="text1"/>
        </w:rPr>
        <w:t xml:space="preserve"> of the </w:t>
      </w:r>
      <w:r w:rsidR="00F745AB">
        <w:rPr>
          <w:rFonts w:cstheme="minorHAnsi"/>
          <w:color w:val="000000" w:themeColor="text1"/>
        </w:rPr>
        <w:t>male success initiative</w:t>
      </w:r>
      <w:r w:rsidRPr="000F386A">
        <w:rPr>
          <w:rFonts w:cstheme="minorHAnsi"/>
          <w:color w:val="000000" w:themeColor="text1"/>
        </w:rPr>
        <w:t xml:space="preserve">, which SSU adopted in 2018, aims </w:t>
      </w:r>
      <w:r w:rsidRPr="000F386A">
        <w:rPr>
          <w:rFonts w:eastAsia="Verdana" w:cstheme="minorHAnsi"/>
        </w:rPr>
        <w:t xml:space="preserve">to improve the retention and graduation rates for students by providing an integrated program focused on academic support, identity development, and mentoring. The program aims to support the success of </w:t>
      </w:r>
      <w:r w:rsidRPr="000F386A">
        <w:rPr>
          <w:rFonts w:eastAsia="Verdana" w:cstheme="minorHAnsi"/>
        </w:rPr>
        <w:lastRenderedPageBreak/>
        <w:t>students by utilizing community and an unapologetic approach shaped by scholarship, service, and leadership.</w:t>
      </w:r>
    </w:p>
    <w:p w14:paraId="755CE877" w14:textId="6F1759EE" w:rsidR="00D73797" w:rsidRPr="00401166" w:rsidRDefault="00D73797" w:rsidP="0076707C">
      <w:pPr>
        <w:pStyle w:val="Heading3"/>
      </w:pPr>
      <w:r w:rsidRPr="00401166">
        <w:t>Native American Initiative</w:t>
      </w:r>
      <w:r w:rsidR="0076707C">
        <w:br/>
      </w:r>
    </w:p>
    <w:p w14:paraId="084F163E" w14:textId="46230396" w:rsidR="00D73797" w:rsidRPr="000F386A" w:rsidRDefault="00D73797" w:rsidP="00D73797">
      <w:pPr>
        <w:spacing w:line="480" w:lineRule="auto"/>
        <w:ind w:firstLine="720"/>
        <w:contextualSpacing/>
        <w:rPr>
          <w:rFonts w:cstheme="minorHAnsi"/>
          <w:color w:val="000000" w:themeColor="text1"/>
        </w:rPr>
      </w:pPr>
      <w:r w:rsidRPr="000F386A">
        <w:rPr>
          <w:rFonts w:cstheme="minorHAnsi"/>
          <w:color w:val="000000" w:themeColor="text1"/>
        </w:rPr>
        <w:t xml:space="preserve">The </w:t>
      </w:r>
      <w:r w:rsidR="00F745AB">
        <w:rPr>
          <w:rFonts w:cstheme="minorHAnsi"/>
          <w:color w:val="000000" w:themeColor="text1"/>
        </w:rPr>
        <w:t>N</w:t>
      </w:r>
      <w:r w:rsidR="00F745AB" w:rsidRPr="000F386A">
        <w:rPr>
          <w:rFonts w:cstheme="minorHAnsi"/>
          <w:color w:val="000000" w:themeColor="text1"/>
        </w:rPr>
        <w:t xml:space="preserve">ative </w:t>
      </w:r>
      <w:r w:rsidR="00F745AB">
        <w:rPr>
          <w:rFonts w:cstheme="minorHAnsi"/>
          <w:color w:val="000000" w:themeColor="text1"/>
        </w:rPr>
        <w:t>A</w:t>
      </w:r>
      <w:r w:rsidR="00F745AB" w:rsidRPr="000F386A">
        <w:rPr>
          <w:rFonts w:cstheme="minorHAnsi"/>
          <w:color w:val="000000" w:themeColor="text1"/>
        </w:rPr>
        <w:t xml:space="preserve">merican </w:t>
      </w:r>
      <w:r w:rsidR="00F745AB">
        <w:rPr>
          <w:rFonts w:cstheme="minorHAnsi"/>
          <w:color w:val="000000" w:themeColor="text1"/>
        </w:rPr>
        <w:t>i</w:t>
      </w:r>
      <w:r w:rsidR="00F745AB" w:rsidRPr="000F386A">
        <w:rPr>
          <w:rFonts w:cstheme="minorHAnsi"/>
          <w:color w:val="000000" w:themeColor="text1"/>
        </w:rPr>
        <w:t xml:space="preserve">nitiative </w:t>
      </w:r>
      <w:r w:rsidRPr="000F386A">
        <w:rPr>
          <w:rFonts w:cstheme="minorHAnsi"/>
          <w:color w:val="000000" w:themeColor="text1"/>
        </w:rPr>
        <w:t xml:space="preserve">(NAI) at Sonoma State University is focused on improved educational access for </w:t>
      </w:r>
      <w:r w:rsidR="00870395">
        <w:rPr>
          <w:rFonts w:cstheme="minorHAnsi"/>
          <w:color w:val="000000" w:themeColor="text1"/>
        </w:rPr>
        <w:t xml:space="preserve">the </w:t>
      </w:r>
      <w:r w:rsidR="002F088A">
        <w:rPr>
          <w:rFonts w:cstheme="minorHAnsi"/>
          <w:color w:val="000000" w:themeColor="text1"/>
        </w:rPr>
        <w:t>local Native American and Indigenous</w:t>
      </w:r>
      <w:r w:rsidRPr="000F386A">
        <w:rPr>
          <w:rFonts w:cstheme="minorHAnsi"/>
          <w:color w:val="000000" w:themeColor="text1"/>
        </w:rPr>
        <w:t xml:space="preserve"> community with an aim to increase the number students in this group who enroll and graduate from SSU. In the past three years, SSU has taken a multidisciplinary approach to enhancing student services focused on Native American communities, which includes the newly formed </w:t>
      </w:r>
      <w:r w:rsidR="002F088A">
        <w:rPr>
          <w:rFonts w:cstheme="minorHAnsi"/>
          <w:color w:val="000000" w:themeColor="text1"/>
        </w:rPr>
        <w:t>N</w:t>
      </w:r>
      <w:r w:rsidR="0062137D" w:rsidRPr="000F386A">
        <w:rPr>
          <w:rFonts w:cstheme="minorHAnsi"/>
          <w:color w:val="000000" w:themeColor="text1"/>
        </w:rPr>
        <w:t xml:space="preserve">ative </w:t>
      </w:r>
      <w:r w:rsidRPr="000F386A">
        <w:rPr>
          <w:rFonts w:cstheme="minorHAnsi"/>
          <w:color w:val="000000" w:themeColor="text1"/>
        </w:rPr>
        <w:t>and </w:t>
      </w:r>
      <w:r w:rsidR="002F088A">
        <w:rPr>
          <w:rFonts w:cstheme="minorHAnsi"/>
          <w:color w:val="000000" w:themeColor="text1"/>
        </w:rPr>
        <w:t>I</w:t>
      </w:r>
      <w:r w:rsidR="0062137D" w:rsidRPr="000F386A">
        <w:rPr>
          <w:rFonts w:cstheme="minorHAnsi"/>
          <w:color w:val="000000" w:themeColor="text1"/>
        </w:rPr>
        <w:t xml:space="preserve">ndigenous </w:t>
      </w:r>
      <w:r w:rsidR="0062137D">
        <w:rPr>
          <w:rFonts w:cstheme="minorHAnsi"/>
          <w:color w:val="000000" w:themeColor="text1"/>
        </w:rPr>
        <w:t>s</w:t>
      </w:r>
      <w:r w:rsidR="0062137D" w:rsidRPr="000F386A">
        <w:rPr>
          <w:rFonts w:cstheme="minorHAnsi"/>
          <w:color w:val="000000" w:themeColor="text1"/>
        </w:rPr>
        <w:t xml:space="preserve">tudent </w:t>
      </w:r>
      <w:r w:rsidR="0062137D">
        <w:rPr>
          <w:rFonts w:cstheme="minorHAnsi"/>
          <w:color w:val="000000" w:themeColor="text1"/>
        </w:rPr>
        <w:t>s</w:t>
      </w:r>
      <w:r w:rsidR="0062137D" w:rsidRPr="000F386A">
        <w:rPr>
          <w:rFonts w:cstheme="minorHAnsi"/>
          <w:color w:val="000000" w:themeColor="text1"/>
        </w:rPr>
        <w:t xml:space="preserve">upport </w:t>
      </w:r>
      <w:r w:rsidR="0062137D">
        <w:rPr>
          <w:rFonts w:cstheme="minorHAnsi"/>
          <w:color w:val="000000" w:themeColor="text1"/>
        </w:rPr>
        <w:t>i</w:t>
      </w:r>
      <w:r w:rsidR="0062137D" w:rsidRPr="000F386A">
        <w:rPr>
          <w:rFonts w:cstheme="minorHAnsi"/>
          <w:color w:val="000000" w:themeColor="text1"/>
        </w:rPr>
        <w:t>nitiative </w:t>
      </w:r>
      <w:r w:rsidR="0062137D">
        <w:rPr>
          <w:rFonts w:cstheme="minorHAnsi"/>
          <w:color w:val="000000" w:themeColor="text1"/>
        </w:rPr>
        <w:t>c</w:t>
      </w:r>
      <w:r w:rsidR="0062137D" w:rsidRPr="000F386A">
        <w:rPr>
          <w:rFonts w:cstheme="minorHAnsi"/>
          <w:color w:val="000000" w:themeColor="text1"/>
        </w:rPr>
        <w:t>ommittee</w:t>
      </w:r>
      <w:r w:rsidRPr="000F386A">
        <w:rPr>
          <w:rFonts w:cstheme="minorHAnsi"/>
          <w:color w:val="000000" w:themeColor="text1"/>
        </w:rPr>
        <w:t xml:space="preserve">, a stronger partnership with the local tribes of the Federated Indians of Graton Rancheria representing the Coast Miwok and Southern Pomo people, and the creation of the </w:t>
      </w:r>
      <w:r w:rsidR="0062137D">
        <w:rPr>
          <w:rFonts w:cstheme="minorHAnsi"/>
          <w:color w:val="000000" w:themeColor="text1"/>
        </w:rPr>
        <w:t>N</w:t>
      </w:r>
      <w:r w:rsidR="0062137D" w:rsidRPr="000F386A">
        <w:rPr>
          <w:rFonts w:cstheme="minorHAnsi"/>
          <w:color w:val="000000" w:themeColor="text1"/>
        </w:rPr>
        <w:t xml:space="preserve">ative </w:t>
      </w:r>
      <w:r w:rsidRPr="000F386A">
        <w:rPr>
          <w:rFonts w:cstheme="minorHAnsi"/>
          <w:color w:val="000000" w:themeColor="text1"/>
        </w:rPr>
        <w:t xml:space="preserve">American </w:t>
      </w:r>
      <w:r w:rsidR="0062137D">
        <w:rPr>
          <w:rFonts w:cstheme="minorHAnsi"/>
          <w:color w:val="000000" w:themeColor="text1"/>
        </w:rPr>
        <w:t>p</w:t>
      </w:r>
      <w:r w:rsidR="0062137D" w:rsidRPr="000F386A">
        <w:rPr>
          <w:rFonts w:cstheme="minorHAnsi"/>
          <w:color w:val="000000" w:themeColor="text1"/>
        </w:rPr>
        <w:t xml:space="preserve">rogram </w:t>
      </w:r>
      <w:r w:rsidRPr="000F386A">
        <w:rPr>
          <w:rFonts w:cstheme="minorHAnsi"/>
          <w:color w:val="000000" w:themeColor="text1"/>
        </w:rPr>
        <w:t xml:space="preserve">for </w:t>
      </w:r>
      <w:r w:rsidR="0062137D">
        <w:rPr>
          <w:rFonts w:cstheme="minorHAnsi"/>
          <w:color w:val="000000" w:themeColor="text1"/>
        </w:rPr>
        <w:t>s</w:t>
      </w:r>
      <w:r w:rsidR="0062137D" w:rsidRPr="000F386A">
        <w:rPr>
          <w:rFonts w:cstheme="minorHAnsi"/>
          <w:color w:val="000000" w:themeColor="text1"/>
        </w:rPr>
        <w:t xml:space="preserve">tudent </w:t>
      </w:r>
      <w:r w:rsidR="0062137D">
        <w:rPr>
          <w:rFonts w:cstheme="minorHAnsi"/>
          <w:color w:val="000000" w:themeColor="text1"/>
        </w:rPr>
        <w:t>s</w:t>
      </w:r>
      <w:r w:rsidR="0062137D" w:rsidRPr="000F386A">
        <w:rPr>
          <w:rFonts w:cstheme="minorHAnsi"/>
          <w:color w:val="000000" w:themeColor="text1"/>
        </w:rPr>
        <w:t>uccess</w:t>
      </w:r>
      <w:r w:rsidRPr="000F386A">
        <w:rPr>
          <w:rFonts w:cstheme="minorHAnsi"/>
          <w:color w:val="000000" w:themeColor="text1"/>
        </w:rPr>
        <w:t>.</w:t>
      </w:r>
    </w:p>
    <w:p w14:paraId="5D15097C" w14:textId="6DE1E6C9" w:rsidR="00D73797" w:rsidRPr="00401166" w:rsidRDefault="00D73797" w:rsidP="0076707C">
      <w:pPr>
        <w:pStyle w:val="Heading3"/>
      </w:pPr>
      <w:r w:rsidRPr="00401166">
        <w:t>Faculty Exchanges on Social Justice</w:t>
      </w:r>
      <w:r w:rsidR="0076707C">
        <w:br/>
      </w:r>
    </w:p>
    <w:p w14:paraId="5B3BE6FF" w14:textId="765EC710" w:rsidR="00064D2C" w:rsidRDefault="00D73797" w:rsidP="00D73797">
      <w:pPr>
        <w:spacing w:line="480" w:lineRule="auto"/>
        <w:contextualSpacing/>
        <w:rPr>
          <w:rFonts w:cstheme="minorHAnsi"/>
          <w:b/>
          <w:bCs/>
          <w:color w:val="000000" w:themeColor="text1"/>
          <w:sz w:val="24"/>
          <w:u w:val="single"/>
        </w:rPr>
      </w:pPr>
      <w:r w:rsidRPr="000F386A">
        <w:rPr>
          <w:rFonts w:cstheme="minorHAnsi"/>
          <w:bCs/>
          <w:color w:val="000000" w:themeColor="text1"/>
        </w:rPr>
        <w:tab/>
        <w:t xml:space="preserve">In </w:t>
      </w:r>
      <w:r w:rsidR="00841753">
        <w:rPr>
          <w:rFonts w:cstheme="minorHAnsi"/>
          <w:bCs/>
          <w:color w:val="000000" w:themeColor="text1"/>
        </w:rPr>
        <w:t>fall</w:t>
      </w:r>
      <w:r w:rsidRPr="000F386A">
        <w:rPr>
          <w:rFonts w:cstheme="minorHAnsi"/>
          <w:bCs/>
          <w:color w:val="000000" w:themeColor="text1"/>
        </w:rPr>
        <w:t xml:space="preserve"> 2020, </w:t>
      </w:r>
      <w:r w:rsidR="0062137D">
        <w:rPr>
          <w:rFonts w:cstheme="minorHAnsi"/>
          <w:bCs/>
          <w:color w:val="000000" w:themeColor="text1"/>
        </w:rPr>
        <w:t>the office of a</w:t>
      </w:r>
      <w:r w:rsidR="0062137D" w:rsidRPr="000F386A">
        <w:rPr>
          <w:rFonts w:cstheme="minorHAnsi"/>
          <w:bCs/>
          <w:color w:val="000000" w:themeColor="text1"/>
        </w:rPr>
        <w:t xml:space="preserve">cademic </w:t>
      </w:r>
      <w:r w:rsidR="0062137D">
        <w:rPr>
          <w:rFonts w:cstheme="minorHAnsi"/>
          <w:bCs/>
          <w:color w:val="000000" w:themeColor="text1"/>
        </w:rPr>
        <w:t>p</w:t>
      </w:r>
      <w:r w:rsidR="0062137D" w:rsidRPr="000F386A">
        <w:rPr>
          <w:rFonts w:cstheme="minorHAnsi"/>
          <w:bCs/>
          <w:color w:val="000000" w:themeColor="text1"/>
        </w:rPr>
        <w:t xml:space="preserve">rograms </w:t>
      </w:r>
      <w:r w:rsidRPr="000F386A">
        <w:rPr>
          <w:rFonts w:cstheme="minorHAnsi"/>
          <w:bCs/>
          <w:color w:val="000000" w:themeColor="text1"/>
        </w:rPr>
        <w:t xml:space="preserve">launched a biweekly series of </w:t>
      </w:r>
      <w:r w:rsidR="0062137D">
        <w:rPr>
          <w:rFonts w:cstheme="minorHAnsi"/>
          <w:bCs/>
          <w:color w:val="000000" w:themeColor="text1"/>
        </w:rPr>
        <w:t>f</w:t>
      </w:r>
      <w:r w:rsidR="0062137D" w:rsidRPr="000F386A">
        <w:rPr>
          <w:rFonts w:cstheme="minorHAnsi"/>
          <w:bCs/>
          <w:color w:val="000000" w:themeColor="text1"/>
        </w:rPr>
        <w:t xml:space="preserve">aculty </w:t>
      </w:r>
      <w:r w:rsidR="0062137D">
        <w:rPr>
          <w:rFonts w:cstheme="minorHAnsi"/>
          <w:bCs/>
          <w:color w:val="000000" w:themeColor="text1"/>
        </w:rPr>
        <w:t>e</w:t>
      </w:r>
      <w:r w:rsidR="0062137D" w:rsidRPr="000F386A">
        <w:rPr>
          <w:rFonts w:cstheme="minorHAnsi"/>
          <w:bCs/>
          <w:color w:val="000000" w:themeColor="text1"/>
        </w:rPr>
        <w:t>xchanges</w:t>
      </w:r>
      <w:r w:rsidRPr="000F386A">
        <w:rPr>
          <w:rFonts w:cstheme="minorHAnsi"/>
          <w:bCs/>
          <w:color w:val="000000" w:themeColor="text1"/>
        </w:rPr>
        <w:t>, with many discussions centering on diversity, equity, and inclusion.</w:t>
      </w:r>
      <w:r w:rsidR="00925B41">
        <w:rPr>
          <w:rFonts w:cstheme="minorHAnsi"/>
          <w:bCs/>
          <w:color w:val="000000" w:themeColor="text1"/>
        </w:rPr>
        <w:t xml:space="preserve"> </w:t>
      </w:r>
      <w:r w:rsidRPr="000F386A">
        <w:rPr>
          <w:rFonts w:cstheme="minorHAnsi"/>
          <w:bCs/>
          <w:color w:val="000000" w:themeColor="text1"/>
        </w:rPr>
        <w:t>Examples of discussion topics included:</w:t>
      </w:r>
      <w:r w:rsidR="00925B41">
        <w:rPr>
          <w:rFonts w:cstheme="minorHAnsi"/>
          <w:bCs/>
          <w:color w:val="000000" w:themeColor="text1"/>
        </w:rPr>
        <w:t xml:space="preserve"> </w:t>
      </w:r>
      <w:r w:rsidRPr="000F386A">
        <w:rPr>
          <w:rFonts w:cstheme="minorHAnsi"/>
          <w:bCs/>
          <w:color w:val="000000" w:themeColor="text1"/>
        </w:rPr>
        <w:t>“Performative vs. Authentic Racial Justice,” “Launching the Racial Justice Canvas Page,” “So You Want to Talk About Race” book discussion, and “Systemic Equity at SSU.”</w:t>
      </w:r>
      <w:r w:rsidR="00EA688F">
        <w:rPr>
          <w:rFonts w:cstheme="minorHAnsi"/>
          <w:bCs/>
          <w:color w:val="000000" w:themeColor="text1"/>
        </w:rPr>
        <w:t xml:space="preserve">  </w:t>
      </w:r>
      <w:r w:rsidR="00EA688F">
        <w:rPr>
          <w:rFonts w:ascii="Calibri" w:hAnsi="Calibri" w:cs="Calibri"/>
          <w:color w:val="000000"/>
        </w:rPr>
        <w:t xml:space="preserve">These meetings have also resulted in the </w:t>
      </w:r>
      <w:r w:rsidR="00354D18">
        <w:rPr>
          <w:rFonts w:ascii="Calibri" w:hAnsi="Calibri" w:cs="Calibri"/>
          <w:color w:val="000000"/>
        </w:rPr>
        <w:t xml:space="preserve">development </w:t>
      </w:r>
      <w:r w:rsidR="00EA688F">
        <w:rPr>
          <w:rFonts w:ascii="Calibri" w:hAnsi="Calibri" w:cs="Calibri"/>
          <w:color w:val="000000"/>
        </w:rPr>
        <w:t xml:space="preserve">of an interdisciplinary faculty working group focused on creating programming to facilitate discussions of race and anti-racism on campus.  These discussions are slated to begin in </w:t>
      </w:r>
      <w:r w:rsidR="00390AEB">
        <w:rPr>
          <w:rFonts w:ascii="Calibri" w:hAnsi="Calibri" w:cs="Calibri"/>
          <w:color w:val="000000"/>
        </w:rPr>
        <w:t>s</w:t>
      </w:r>
      <w:r w:rsidR="00EA688F">
        <w:rPr>
          <w:rFonts w:ascii="Calibri" w:hAnsi="Calibri" w:cs="Calibri"/>
          <w:color w:val="000000"/>
        </w:rPr>
        <w:t xml:space="preserve">pring 2021 followed by a related common-read/common-question curriculum for the campus in </w:t>
      </w:r>
      <w:r w:rsidR="00841753">
        <w:rPr>
          <w:rFonts w:ascii="Calibri" w:hAnsi="Calibri" w:cs="Calibri"/>
          <w:color w:val="000000"/>
        </w:rPr>
        <w:t>fall</w:t>
      </w:r>
      <w:r w:rsidR="00EA688F">
        <w:rPr>
          <w:rFonts w:ascii="Calibri" w:hAnsi="Calibri" w:cs="Calibri"/>
          <w:color w:val="000000"/>
        </w:rPr>
        <w:t xml:space="preserve"> 2021.</w:t>
      </w:r>
    </w:p>
    <w:p w14:paraId="76DCDD31" w14:textId="0E5F9972" w:rsidR="00D73797" w:rsidRPr="000F386A" w:rsidRDefault="00D73797" w:rsidP="0076707C">
      <w:pPr>
        <w:pStyle w:val="Heading2"/>
      </w:pPr>
      <w:r w:rsidRPr="000F386A">
        <w:t>Hiring Criteria</w:t>
      </w:r>
      <w:r w:rsidR="0076707C">
        <w:br/>
      </w:r>
    </w:p>
    <w:p w14:paraId="121E8C1A" w14:textId="3A5A051C" w:rsidR="00D73797" w:rsidRPr="000F386A" w:rsidRDefault="00D73797" w:rsidP="00D73797">
      <w:pPr>
        <w:pBdr>
          <w:top w:val="nil"/>
          <w:left w:val="nil"/>
          <w:bottom w:val="nil"/>
          <w:right w:val="nil"/>
          <w:between w:val="nil"/>
        </w:pBdr>
        <w:spacing w:after="0" w:line="480" w:lineRule="auto"/>
        <w:ind w:firstLine="720"/>
        <w:rPr>
          <w:rFonts w:cstheme="minorHAnsi"/>
          <w:color w:val="000000" w:themeColor="text1"/>
        </w:rPr>
      </w:pPr>
      <w:r w:rsidRPr="000F386A">
        <w:rPr>
          <w:rFonts w:cstheme="minorHAnsi"/>
          <w:color w:val="000000" w:themeColor="text1"/>
          <w:highlight w:val="white"/>
        </w:rPr>
        <w:t xml:space="preserve">Campus hiring practices have been reviewed and improved with an eye to equity and diversity among faculty and staff. The </w:t>
      </w:r>
      <w:r w:rsidR="0062137D">
        <w:rPr>
          <w:rFonts w:cstheme="minorHAnsi"/>
          <w:color w:val="000000" w:themeColor="text1"/>
          <w:highlight w:val="white"/>
        </w:rPr>
        <w:t>h</w:t>
      </w:r>
      <w:r w:rsidR="0062137D" w:rsidRPr="000F386A">
        <w:rPr>
          <w:rFonts w:cstheme="minorHAnsi"/>
          <w:color w:val="000000" w:themeColor="text1"/>
          <w:highlight w:val="white"/>
        </w:rPr>
        <w:t xml:space="preserve">uman </w:t>
      </w:r>
      <w:r w:rsidR="0062137D">
        <w:rPr>
          <w:rFonts w:cstheme="minorHAnsi"/>
          <w:color w:val="000000" w:themeColor="text1"/>
          <w:highlight w:val="white"/>
        </w:rPr>
        <w:t>r</w:t>
      </w:r>
      <w:r w:rsidR="0062137D" w:rsidRPr="000F386A">
        <w:rPr>
          <w:rFonts w:cstheme="minorHAnsi"/>
          <w:color w:val="000000" w:themeColor="text1"/>
          <w:highlight w:val="white"/>
        </w:rPr>
        <w:t xml:space="preserve">esources </w:t>
      </w:r>
      <w:r w:rsidRPr="000F386A">
        <w:rPr>
          <w:rFonts w:cstheme="minorHAnsi"/>
          <w:color w:val="000000" w:themeColor="text1"/>
          <w:highlight w:val="white"/>
        </w:rPr>
        <w:t xml:space="preserve">department </w:t>
      </w:r>
      <w:r w:rsidR="00354D18">
        <w:rPr>
          <w:rFonts w:cstheme="minorHAnsi"/>
          <w:color w:val="000000" w:themeColor="text1"/>
          <w:highlight w:val="white"/>
        </w:rPr>
        <w:t xml:space="preserve">and </w:t>
      </w:r>
      <w:r w:rsidR="0062137D">
        <w:rPr>
          <w:rFonts w:cstheme="minorHAnsi"/>
          <w:color w:val="000000" w:themeColor="text1"/>
          <w:highlight w:val="white"/>
        </w:rPr>
        <w:t xml:space="preserve">office </w:t>
      </w:r>
      <w:r w:rsidR="00354D18">
        <w:rPr>
          <w:rFonts w:cstheme="minorHAnsi"/>
          <w:color w:val="000000" w:themeColor="text1"/>
          <w:highlight w:val="white"/>
        </w:rPr>
        <w:t xml:space="preserve">of </w:t>
      </w:r>
      <w:r w:rsidR="0062137D">
        <w:rPr>
          <w:rFonts w:cstheme="minorHAnsi"/>
          <w:color w:val="000000" w:themeColor="text1"/>
          <w:highlight w:val="white"/>
        </w:rPr>
        <w:t xml:space="preserve">faculty affairs </w:t>
      </w:r>
      <w:r w:rsidR="00354D18">
        <w:rPr>
          <w:rFonts w:cstheme="minorHAnsi"/>
          <w:color w:val="000000" w:themeColor="text1"/>
          <w:highlight w:val="white"/>
        </w:rPr>
        <w:t xml:space="preserve">have </w:t>
      </w:r>
      <w:r w:rsidRPr="000F386A">
        <w:rPr>
          <w:rFonts w:cstheme="minorHAnsi"/>
          <w:color w:val="000000" w:themeColor="text1"/>
          <w:highlight w:val="white"/>
        </w:rPr>
        <w:t>offer</w:t>
      </w:r>
      <w:r w:rsidR="00354D18">
        <w:rPr>
          <w:rFonts w:cstheme="minorHAnsi"/>
          <w:color w:val="000000" w:themeColor="text1"/>
          <w:highlight w:val="white"/>
        </w:rPr>
        <w:t>ed</w:t>
      </w:r>
      <w:r w:rsidRPr="000F386A">
        <w:rPr>
          <w:rFonts w:cstheme="minorHAnsi"/>
          <w:color w:val="000000" w:themeColor="text1"/>
          <w:highlight w:val="white"/>
        </w:rPr>
        <w:t xml:space="preserve"> </w:t>
      </w:r>
      <w:r w:rsidRPr="000F386A">
        <w:rPr>
          <w:rFonts w:cstheme="minorHAnsi"/>
          <w:color w:val="000000" w:themeColor="text1"/>
          <w:highlight w:val="white"/>
        </w:rPr>
        <w:lastRenderedPageBreak/>
        <w:t xml:space="preserve">increased training and guidance </w:t>
      </w:r>
      <w:r w:rsidRPr="000F386A">
        <w:rPr>
          <w:rFonts w:cstheme="minorHAnsi"/>
          <w:color w:val="000000" w:themeColor="text1"/>
        </w:rPr>
        <w:t xml:space="preserve">on </w:t>
      </w:r>
      <w:r w:rsidR="00354D18">
        <w:rPr>
          <w:rFonts w:cstheme="minorHAnsi"/>
          <w:color w:val="000000" w:themeColor="text1"/>
        </w:rPr>
        <w:t xml:space="preserve">faculty and staff </w:t>
      </w:r>
      <w:r w:rsidRPr="000F386A">
        <w:rPr>
          <w:rFonts w:cstheme="minorHAnsi"/>
          <w:color w:val="000000" w:themeColor="text1"/>
        </w:rPr>
        <w:t xml:space="preserve">recruitment and selection processes, so that search committees are well-informed about SSU’s recruitment policy, as well as </w:t>
      </w:r>
      <w:r w:rsidR="0062137D">
        <w:rPr>
          <w:rFonts w:cstheme="minorHAnsi"/>
          <w:color w:val="000000" w:themeColor="text1"/>
        </w:rPr>
        <w:t>a</w:t>
      </w:r>
      <w:r w:rsidR="0062137D" w:rsidRPr="000F386A">
        <w:rPr>
          <w:rFonts w:cstheme="minorHAnsi"/>
          <w:color w:val="000000" w:themeColor="text1"/>
        </w:rPr>
        <w:t xml:space="preserve">ffirmative </w:t>
      </w:r>
      <w:r w:rsidR="0062137D">
        <w:rPr>
          <w:rFonts w:cstheme="minorHAnsi"/>
          <w:color w:val="000000" w:themeColor="text1"/>
        </w:rPr>
        <w:t>a</w:t>
      </w:r>
      <w:r w:rsidR="0062137D" w:rsidRPr="000F386A">
        <w:rPr>
          <w:rFonts w:cstheme="minorHAnsi"/>
          <w:color w:val="000000" w:themeColor="text1"/>
        </w:rPr>
        <w:t>ction</w:t>
      </w:r>
      <w:r w:rsidRPr="000F386A">
        <w:rPr>
          <w:rFonts w:cstheme="minorHAnsi"/>
          <w:color w:val="000000" w:themeColor="text1"/>
        </w:rPr>
        <w:t xml:space="preserve">, </w:t>
      </w:r>
      <w:r w:rsidR="0062137D">
        <w:rPr>
          <w:rFonts w:cstheme="minorHAnsi"/>
          <w:color w:val="000000" w:themeColor="text1"/>
        </w:rPr>
        <w:t>e</w:t>
      </w:r>
      <w:r w:rsidR="0062137D" w:rsidRPr="000F386A">
        <w:rPr>
          <w:rFonts w:cstheme="minorHAnsi"/>
          <w:color w:val="000000" w:themeColor="text1"/>
        </w:rPr>
        <w:t xml:space="preserve">qual </w:t>
      </w:r>
      <w:r w:rsidR="0062137D">
        <w:rPr>
          <w:rFonts w:cstheme="minorHAnsi"/>
          <w:color w:val="000000" w:themeColor="text1"/>
        </w:rPr>
        <w:t>e</w:t>
      </w:r>
      <w:r w:rsidR="0062137D" w:rsidRPr="000F386A">
        <w:rPr>
          <w:rFonts w:cstheme="minorHAnsi"/>
          <w:color w:val="000000" w:themeColor="text1"/>
        </w:rPr>
        <w:t xml:space="preserve">mployment </w:t>
      </w:r>
      <w:r w:rsidR="0062137D">
        <w:rPr>
          <w:rFonts w:cstheme="minorHAnsi"/>
          <w:color w:val="000000" w:themeColor="text1"/>
        </w:rPr>
        <w:t>o</w:t>
      </w:r>
      <w:r w:rsidR="0062137D" w:rsidRPr="000F386A">
        <w:rPr>
          <w:rFonts w:cstheme="minorHAnsi"/>
          <w:color w:val="000000" w:themeColor="text1"/>
        </w:rPr>
        <w:t>p</w:t>
      </w:r>
      <w:r w:rsidR="008C1ABA">
        <w:rPr>
          <w:rFonts w:cstheme="minorHAnsi"/>
          <w:color w:val="000000" w:themeColor="text1"/>
        </w:rPr>
        <w:t>p</w:t>
      </w:r>
      <w:r w:rsidR="0062137D" w:rsidRPr="000F386A">
        <w:rPr>
          <w:rFonts w:cstheme="minorHAnsi"/>
          <w:color w:val="000000" w:themeColor="text1"/>
        </w:rPr>
        <w:t>ortunity</w:t>
      </w:r>
      <w:r w:rsidRPr="000F386A">
        <w:rPr>
          <w:rFonts w:cstheme="minorHAnsi"/>
          <w:color w:val="000000" w:themeColor="text1"/>
        </w:rPr>
        <w:t xml:space="preserve">, diversity, and unconscious bias. </w:t>
      </w:r>
      <w:r w:rsidR="0062137D">
        <w:rPr>
          <w:rFonts w:cstheme="minorHAnsi"/>
          <w:color w:val="000000" w:themeColor="text1"/>
        </w:rPr>
        <w:t>Human resources</w:t>
      </w:r>
      <w:r w:rsidR="0062137D" w:rsidRPr="000F386A">
        <w:rPr>
          <w:rFonts w:cstheme="minorHAnsi"/>
          <w:color w:val="000000" w:themeColor="text1"/>
        </w:rPr>
        <w:t xml:space="preserve"> </w:t>
      </w:r>
      <w:r w:rsidRPr="000F386A">
        <w:rPr>
          <w:rFonts w:cstheme="minorHAnsi"/>
          <w:color w:val="000000" w:themeColor="text1"/>
        </w:rPr>
        <w:t>staff</w:t>
      </w:r>
      <w:r w:rsidR="00354D18">
        <w:rPr>
          <w:rFonts w:cstheme="minorHAnsi"/>
          <w:color w:val="000000" w:themeColor="text1"/>
        </w:rPr>
        <w:t xml:space="preserve"> and the </w:t>
      </w:r>
      <w:r w:rsidR="0062137D">
        <w:rPr>
          <w:rFonts w:cstheme="minorHAnsi"/>
          <w:color w:val="000000" w:themeColor="text1"/>
        </w:rPr>
        <w:t>a</w:t>
      </w:r>
      <w:r w:rsidR="00354D18">
        <w:rPr>
          <w:rFonts w:cstheme="minorHAnsi"/>
          <w:color w:val="000000" w:themeColor="text1"/>
        </w:rPr>
        <w:t xml:space="preserve">ssociate </w:t>
      </w:r>
      <w:r w:rsidR="0062137D">
        <w:rPr>
          <w:rFonts w:cstheme="minorHAnsi"/>
          <w:color w:val="000000" w:themeColor="text1"/>
        </w:rPr>
        <w:t>v</w:t>
      </w:r>
      <w:r w:rsidR="00354D18">
        <w:rPr>
          <w:rFonts w:cstheme="minorHAnsi"/>
          <w:color w:val="000000" w:themeColor="text1"/>
        </w:rPr>
        <w:t xml:space="preserve">ice </w:t>
      </w:r>
      <w:r w:rsidR="0062137D">
        <w:rPr>
          <w:rFonts w:cstheme="minorHAnsi"/>
          <w:color w:val="000000" w:themeColor="text1"/>
        </w:rPr>
        <w:t>p</w:t>
      </w:r>
      <w:r w:rsidR="00354D18">
        <w:rPr>
          <w:rFonts w:cstheme="minorHAnsi"/>
          <w:color w:val="000000" w:themeColor="text1"/>
        </w:rPr>
        <w:t xml:space="preserve">resident for </w:t>
      </w:r>
      <w:r w:rsidR="0062137D">
        <w:rPr>
          <w:rFonts w:cstheme="minorHAnsi"/>
          <w:color w:val="000000" w:themeColor="text1"/>
        </w:rPr>
        <w:t>f</w:t>
      </w:r>
      <w:r w:rsidR="00354D18">
        <w:rPr>
          <w:rFonts w:cstheme="minorHAnsi"/>
          <w:color w:val="000000" w:themeColor="text1"/>
        </w:rPr>
        <w:t xml:space="preserve">aculty </w:t>
      </w:r>
      <w:r w:rsidR="0062137D">
        <w:rPr>
          <w:rFonts w:cstheme="minorHAnsi"/>
          <w:color w:val="000000" w:themeColor="text1"/>
        </w:rPr>
        <w:t>a</w:t>
      </w:r>
      <w:r w:rsidR="00354D18">
        <w:rPr>
          <w:rFonts w:cstheme="minorHAnsi"/>
          <w:color w:val="000000" w:themeColor="text1"/>
        </w:rPr>
        <w:t>ffairs</w:t>
      </w:r>
      <w:r w:rsidRPr="000F386A">
        <w:rPr>
          <w:rFonts w:cstheme="minorHAnsi"/>
          <w:color w:val="000000" w:themeColor="text1"/>
        </w:rPr>
        <w:t xml:space="preserve"> are available to meet with hiring manager</w:t>
      </w:r>
      <w:r w:rsidR="00354D18">
        <w:rPr>
          <w:rFonts w:cstheme="minorHAnsi"/>
          <w:color w:val="000000" w:themeColor="text1"/>
        </w:rPr>
        <w:t>s</w:t>
      </w:r>
      <w:r w:rsidRPr="000F386A">
        <w:rPr>
          <w:rFonts w:cstheme="minorHAnsi"/>
          <w:color w:val="000000" w:themeColor="text1"/>
        </w:rPr>
        <w:t xml:space="preserve"> or search committee</w:t>
      </w:r>
      <w:r w:rsidR="00354D18">
        <w:rPr>
          <w:rFonts w:cstheme="minorHAnsi"/>
          <w:color w:val="000000" w:themeColor="text1"/>
        </w:rPr>
        <w:t>s</w:t>
      </w:r>
      <w:r w:rsidRPr="000F386A">
        <w:rPr>
          <w:rFonts w:cstheme="minorHAnsi"/>
          <w:color w:val="000000" w:themeColor="text1"/>
        </w:rPr>
        <w:t xml:space="preserve"> to </w:t>
      </w:r>
      <w:proofErr w:type="gramStart"/>
      <w:r w:rsidRPr="000F386A">
        <w:rPr>
          <w:rFonts w:cstheme="minorHAnsi"/>
          <w:color w:val="000000" w:themeColor="text1"/>
        </w:rPr>
        <w:t>offer assistance</w:t>
      </w:r>
      <w:proofErr w:type="gramEnd"/>
      <w:r w:rsidRPr="000F386A">
        <w:rPr>
          <w:rFonts w:cstheme="minorHAnsi"/>
          <w:color w:val="000000" w:themeColor="text1"/>
        </w:rPr>
        <w:t xml:space="preserve"> throughout the recruitment process, and they assist with the crafting of position announcements, appointment on search committees, and drafting of interview questions.</w:t>
      </w:r>
    </w:p>
    <w:p w14:paraId="38F1791E" w14:textId="048E579A" w:rsidR="00D73797" w:rsidRPr="000F386A" w:rsidRDefault="00D73797" w:rsidP="0076707C">
      <w:pPr>
        <w:pStyle w:val="Heading2"/>
      </w:pPr>
      <w:r w:rsidRPr="000F386A">
        <w:t>Five-Year Timeline and Goals</w:t>
      </w:r>
      <w:r w:rsidR="0076707C">
        <w:br/>
      </w:r>
    </w:p>
    <w:p w14:paraId="22C04C2B" w14:textId="658F0143" w:rsidR="00D73797" w:rsidRPr="000F386A" w:rsidRDefault="00D73797" w:rsidP="00D73797">
      <w:pPr>
        <w:spacing w:after="0" w:line="480" w:lineRule="auto"/>
        <w:ind w:firstLine="720"/>
        <w:rPr>
          <w:rFonts w:cstheme="minorHAnsi"/>
          <w:color w:val="000000" w:themeColor="text1"/>
        </w:rPr>
      </w:pPr>
      <w:r w:rsidRPr="000F386A">
        <w:rPr>
          <w:rFonts w:cstheme="minorHAnsi"/>
          <w:color w:val="000000" w:themeColor="text1"/>
        </w:rPr>
        <w:t xml:space="preserve">Between now and the next </w:t>
      </w:r>
      <w:r w:rsidR="00F61959">
        <w:rPr>
          <w:rFonts w:cstheme="minorHAnsi"/>
          <w:color w:val="000000" w:themeColor="text1"/>
        </w:rPr>
        <w:t>WSCU</w:t>
      </w:r>
      <w:r w:rsidR="00F61959" w:rsidRPr="000F386A">
        <w:rPr>
          <w:rFonts w:cstheme="minorHAnsi"/>
          <w:color w:val="000000" w:themeColor="text1"/>
        </w:rPr>
        <w:t xml:space="preserve">C </w:t>
      </w:r>
      <w:r w:rsidRPr="000F386A">
        <w:rPr>
          <w:rFonts w:cstheme="minorHAnsi"/>
          <w:color w:val="000000" w:themeColor="text1"/>
        </w:rPr>
        <w:t>visit in 2025, SSU will continue to honor the innovative culture that has shaped the current abundance of diversity initiatives. In addition, the campus will survey and assess SSU’s current diversity efforts, and it is likely that the results will reveal several high-impact objectives on which the campus community needs to collaboratively focus efforts. To provide the information for the anticipated campus-wide conversations about short-term and long-term diversity priorities and goals, the PAC’s priorities are to implement the following:</w:t>
      </w:r>
    </w:p>
    <w:p w14:paraId="4636C00C" w14:textId="4356D9CE" w:rsidR="00D73797" w:rsidRPr="000F386A" w:rsidRDefault="00F61959" w:rsidP="00DA5365">
      <w:pPr>
        <w:numPr>
          <w:ilvl w:val="0"/>
          <w:numId w:val="23"/>
        </w:numPr>
        <w:pBdr>
          <w:top w:val="nil"/>
          <w:left w:val="nil"/>
          <w:bottom w:val="nil"/>
          <w:right w:val="nil"/>
          <w:between w:val="nil"/>
        </w:pBdr>
        <w:spacing w:after="0" w:line="240" w:lineRule="auto"/>
        <w:ind w:left="720"/>
        <w:rPr>
          <w:rFonts w:cstheme="minorHAnsi"/>
          <w:color w:val="000000" w:themeColor="text1"/>
        </w:rPr>
      </w:pPr>
      <w:r>
        <w:rPr>
          <w:rFonts w:cstheme="minorHAnsi"/>
          <w:color w:val="000000" w:themeColor="text1"/>
        </w:rPr>
        <w:t>A</w:t>
      </w:r>
      <w:r w:rsidR="00D73797" w:rsidRPr="000F386A">
        <w:rPr>
          <w:rFonts w:cstheme="minorHAnsi"/>
          <w:color w:val="000000" w:themeColor="text1"/>
        </w:rPr>
        <w:t xml:space="preserve"> </w:t>
      </w:r>
      <w:r>
        <w:rPr>
          <w:rFonts w:cstheme="minorHAnsi"/>
          <w:color w:val="000000" w:themeColor="text1"/>
        </w:rPr>
        <w:t>r</w:t>
      </w:r>
      <w:r w:rsidR="00D73797" w:rsidRPr="000F386A">
        <w:rPr>
          <w:rFonts w:cstheme="minorHAnsi"/>
          <w:color w:val="000000" w:themeColor="text1"/>
        </w:rPr>
        <w:t xml:space="preserve">estorative </w:t>
      </w:r>
      <w:r>
        <w:rPr>
          <w:rFonts w:cstheme="minorHAnsi"/>
          <w:color w:val="000000" w:themeColor="text1"/>
        </w:rPr>
        <w:t>j</w:t>
      </w:r>
      <w:r w:rsidR="00D73797" w:rsidRPr="000F386A">
        <w:rPr>
          <w:rFonts w:cstheme="minorHAnsi"/>
          <w:color w:val="000000" w:themeColor="text1"/>
        </w:rPr>
        <w:t xml:space="preserve">ustice </w:t>
      </w:r>
      <w:r>
        <w:rPr>
          <w:rFonts w:cstheme="minorHAnsi"/>
          <w:color w:val="000000" w:themeColor="text1"/>
        </w:rPr>
        <w:t>p</w:t>
      </w:r>
      <w:r w:rsidR="00D73797" w:rsidRPr="000F386A">
        <w:rPr>
          <w:rFonts w:cstheme="minorHAnsi"/>
          <w:color w:val="000000" w:themeColor="text1"/>
        </w:rPr>
        <w:t xml:space="preserve">rogram with the goal of keeping </w:t>
      </w:r>
      <w:r w:rsidR="00870395">
        <w:rPr>
          <w:rFonts w:cstheme="minorHAnsi"/>
          <w:color w:val="000000" w:themeColor="text1"/>
        </w:rPr>
        <w:t xml:space="preserve">the </w:t>
      </w:r>
      <w:r w:rsidR="00D73797" w:rsidRPr="000F386A">
        <w:rPr>
          <w:rFonts w:cstheme="minorHAnsi"/>
          <w:color w:val="000000" w:themeColor="text1"/>
        </w:rPr>
        <w:t>Sonoma State community both whole and actively engaged in learning how to correct and heal from harmful and traumatic behaviors.</w:t>
      </w:r>
    </w:p>
    <w:p w14:paraId="3D726F91" w14:textId="3E52820F" w:rsidR="00D73797" w:rsidRPr="000F386A" w:rsidRDefault="00D73797" w:rsidP="00DA5365">
      <w:pPr>
        <w:numPr>
          <w:ilvl w:val="0"/>
          <w:numId w:val="23"/>
        </w:numPr>
        <w:pBdr>
          <w:top w:val="nil"/>
          <w:left w:val="nil"/>
          <w:bottom w:val="nil"/>
          <w:right w:val="nil"/>
          <w:between w:val="nil"/>
        </w:pBdr>
        <w:spacing w:after="0" w:line="240" w:lineRule="auto"/>
        <w:ind w:left="720"/>
        <w:rPr>
          <w:rFonts w:cstheme="minorHAnsi"/>
          <w:color w:val="000000" w:themeColor="text1"/>
        </w:rPr>
      </w:pPr>
      <w:r w:rsidRPr="000F386A">
        <w:rPr>
          <w:rFonts w:cstheme="minorHAnsi"/>
          <w:color w:val="000000" w:themeColor="text1"/>
        </w:rPr>
        <w:t xml:space="preserve">Administration of a </w:t>
      </w:r>
      <w:r w:rsidR="00F61959">
        <w:rPr>
          <w:rFonts w:cstheme="minorHAnsi"/>
          <w:color w:val="000000" w:themeColor="text1"/>
        </w:rPr>
        <w:t>c</w:t>
      </w:r>
      <w:r w:rsidRPr="000F386A">
        <w:rPr>
          <w:rFonts w:cstheme="minorHAnsi"/>
          <w:color w:val="000000" w:themeColor="text1"/>
        </w:rPr>
        <w:t>ampus-</w:t>
      </w:r>
      <w:r w:rsidR="00F61959">
        <w:rPr>
          <w:rFonts w:cstheme="minorHAnsi"/>
          <w:color w:val="000000" w:themeColor="text1"/>
        </w:rPr>
        <w:t>w</w:t>
      </w:r>
      <w:r w:rsidRPr="000F386A">
        <w:rPr>
          <w:rFonts w:cstheme="minorHAnsi"/>
          <w:color w:val="000000" w:themeColor="text1"/>
        </w:rPr>
        <w:t xml:space="preserve">ide </w:t>
      </w:r>
      <w:r w:rsidR="00F61959">
        <w:rPr>
          <w:rFonts w:cstheme="minorHAnsi"/>
          <w:color w:val="000000" w:themeColor="text1"/>
        </w:rPr>
        <w:t>c</w:t>
      </w:r>
      <w:r w:rsidRPr="000F386A">
        <w:rPr>
          <w:rFonts w:cstheme="minorHAnsi"/>
          <w:color w:val="000000" w:themeColor="text1"/>
        </w:rPr>
        <w:t xml:space="preserve">limate </w:t>
      </w:r>
      <w:r w:rsidR="00F61959">
        <w:rPr>
          <w:rFonts w:cstheme="minorHAnsi"/>
          <w:color w:val="000000" w:themeColor="text1"/>
        </w:rPr>
        <w:t>s</w:t>
      </w:r>
      <w:r w:rsidRPr="000F386A">
        <w:rPr>
          <w:rFonts w:cstheme="minorHAnsi"/>
          <w:color w:val="000000" w:themeColor="text1"/>
        </w:rPr>
        <w:t>urvey</w:t>
      </w:r>
      <w:r w:rsidRPr="000F386A">
        <w:rPr>
          <w:rFonts w:cstheme="minorHAnsi"/>
          <w:b/>
          <w:color w:val="000000" w:themeColor="text1"/>
        </w:rPr>
        <w:t xml:space="preserve"> </w:t>
      </w:r>
      <w:r w:rsidRPr="000F386A">
        <w:rPr>
          <w:rFonts w:cstheme="minorHAnsi"/>
          <w:color w:val="000000" w:themeColor="text1"/>
        </w:rPr>
        <w:t xml:space="preserve">to provide key information that will help focus </w:t>
      </w:r>
      <w:r w:rsidR="00F61959">
        <w:rPr>
          <w:rFonts w:cstheme="minorHAnsi"/>
          <w:color w:val="000000" w:themeColor="text1"/>
        </w:rPr>
        <w:t>DEI</w:t>
      </w:r>
      <w:r w:rsidRPr="000F386A">
        <w:rPr>
          <w:rFonts w:cstheme="minorHAnsi"/>
          <w:color w:val="000000" w:themeColor="text1"/>
        </w:rPr>
        <w:t xml:space="preserve"> efforts for the University</w:t>
      </w:r>
    </w:p>
    <w:p w14:paraId="6A2ED408" w14:textId="258595C5" w:rsidR="00D73797" w:rsidRPr="000F386A" w:rsidRDefault="00F61959" w:rsidP="00DA5365">
      <w:pPr>
        <w:numPr>
          <w:ilvl w:val="0"/>
          <w:numId w:val="23"/>
        </w:numPr>
        <w:pBdr>
          <w:top w:val="nil"/>
          <w:left w:val="nil"/>
          <w:bottom w:val="nil"/>
          <w:right w:val="nil"/>
          <w:between w:val="nil"/>
        </w:pBdr>
        <w:spacing w:after="0" w:line="240" w:lineRule="auto"/>
        <w:ind w:left="720"/>
        <w:rPr>
          <w:rFonts w:cstheme="minorHAnsi"/>
          <w:color w:val="000000" w:themeColor="text1"/>
        </w:rPr>
      </w:pPr>
      <w:r>
        <w:rPr>
          <w:rFonts w:cstheme="minorHAnsi"/>
          <w:color w:val="000000" w:themeColor="text1"/>
        </w:rPr>
        <w:t>A d</w:t>
      </w:r>
      <w:r w:rsidR="00D73797" w:rsidRPr="000F386A">
        <w:rPr>
          <w:rFonts w:cstheme="minorHAnsi"/>
          <w:color w:val="000000" w:themeColor="text1"/>
        </w:rPr>
        <w:t xml:space="preserve">iversity </w:t>
      </w:r>
      <w:r>
        <w:rPr>
          <w:rFonts w:cstheme="minorHAnsi"/>
          <w:color w:val="000000" w:themeColor="text1"/>
        </w:rPr>
        <w:t>p</w:t>
      </w:r>
      <w:r w:rsidR="00D73797" w:rsidRPr="000F386A">
        <w:rPr>
          <w:rFonts w:cstheme="minorHAnsi"/>
          <w:color w:val="000000" w:themeColor="text1"/>
        </w:rPr>
        <w:t xml:space="preserve">rograms and </w:t>
      </w:r>
      <w:r>
        <w:rPr>
          <w:rFonts w:cstheme="minorHAnsi"/>
          <w:color w:val="000000" w:themeColor="text1"/>
        </w:rPr>
        <w:t>a</w:t>
      </w:r>
      <w:r w:rsidR="00D73797" w:rsidRPr="000F386A">
        <w:rPr>
          <w:rFonts w:cstheme="minorHAnsi"/>
          <w:color w:val="000000" w:themeColor="text1"/>
        </w:rPr>
        <w:t xml:space="preserve">ctivities </w:t>
      </w:r>
      <w:r>
        <w:rPr>
          <w:rFonts w:cstheme="minorHAnsi"/>
          <w:color w:val="000000" w:themeColor="text1"/>
        </w:rPr>
        <w:t>i</w:t>
      </w:r>
      <w:r w:rsidR="00D73797" w:rsidRPr="000F386A">
        <w:rPr>
          <w:rFonts w:cstheme="minorHAnsi"/>
          <w:color w:val="000000" w:themeColor="text1"/>
        </w:rPr>
        <w:t>nventory</w:t>
      </w:r>
      <w:r>
        <w:rPr>
          <w:rFonts w:cstheme="minorHAnsi"/>
          <w:color w:val="000000" w:themeColor="text1"/>
        </w:rPr>
        <w:t xml:space="preserve"> </w:t>
      </w:r>
      <w:r w:rsidR="00D73797" w:rsidRPr="000F386A">
        <w:rPr>
          <w:rFonts w:cstheme="minorHAnsi"/>
          <w:color w:val="000000" w:themeColor="text1"/>
        </w:rPr>
        <w:t xml:space="preserve">to provide a clear picture of the work currently being done around campus climate, diversity, and inclusion at the </w:t>
      </w:r>
      <w:r w:rsidR="0062137D">
        <w:rPr>
          <w:rFonts w:cstheme="minorHAnsi"/>
          <w:color w:val="000000" w:themeColor="text1"/>
        </w:rPr>
        <w:t>u</w:t>
      </w:r>
      <w:r w:rsidR="0062137D" w:rsidRPr="000F386A">
        <w:rPr>
          <w:rFonts w:cstheme="minorHAnsi"/>
          <w:color w:val="000000" w:themeColor="text1"/>
        </w:rPr>
        <w:t>niversity</w:t>
      </w:r>
    </w:p>
    <w:p w14:paraId="21892640" w14:textId="211EE54F" w:rsidR="00D73797" w:rsidRPr="000F386A" w:rsidRDefault="00F61959" w:rsidP="00DA5365">
      <w:pPr>
        <w:numPr>
          <w:ilvl w:val="0"/>
          <w:numId w:val="23"/>
        </w:numPr>
        <w:pBdr>
          <w:top w:val="nil"/>
          <w:left w:val="nil"/>
          <w:bottom w:val="nil"/>
          <w:right w:val="nil"/>
          <w:between w:val="nil"/>
        </w:pBdr>
        <w:spacing w:line="240" w:lineRule="auto"/>
        <w:ind w:left="720"/>
        <w:rPr>
          <w:rFonts w:cstheme="minorHAnsi"/>
          <w:color w:val="000000" w:themeColor="text1"/>
        </w:rPr>
      </w:pPr>
      <w:r>
        <w:rPr>
          <w:rFonts w:cstheme="minorHAnsi"/>
          <w:color w:val="000000" w:themeColor="text1"/>
        </w:rPr>
        <w:t>An exploration aimed at</w:t>
      </w:r>
      <w:r w:rsidR="00D73797" w:rsidRPr="000F386A">
        <w:rPr>
          <w:rFonts w:cstheme="minorHAnsi"/>
          <w:color w:val="000000" w:themeColor="text1"/>
        </w:rPr>
        <w:t xml:space="preserve"> </w:t>
      </w:r>
      <w:r>
        <w:rPr>
          <w:rFonts w:cstheme="minorHAnsi"/>
          <w:color w:val="000000" w:themeColor="text1"/>
        </w:rPr>
        <w:t>d</w:t>
      </w:r>
      <w:r w:rsidR="00D73797" w:rsidRPr="000F386A">
        <w:rPr>
          <w:rFonts w:cstheme="minorHAnsi"/>
          <w:color w:val="000000" w:themeColor="text1"/>
        </w:rPr>
        <w:t xml:space="preserve">ismantling </w:t>
      </w:r>
      <w:r>
        <w:rPr>
          <w:rFonts w:cstheme="minorHAnsi"/>
          <w:color w:val="000000" w:themeColor="text1"/>
        </w:rPr>
        <w:t>i</w:t>
      </w:r>
      <w:r w:rsidR="00D73797" w:rsidRPr="000F386A">
        <w:rPr>
          <w:rFonts w:cstheme="minorHAnsi"/>
          <w:color w:val="000000" w:themeColor="text1"/>
        </w:rPr>
        <w:t xml:space="preserve">ntersectional and </w:t>
      </w:r>
      <w:r>
        <w:rPr>
          <w:rFonts w:cstheme="minorHAnsi"/>
          <w:color w:val="000000" w:themeColor="text1"/>
        </w:rPr>
        <w:t>s</w:t>
      </w:r>
      <w:r w:rsidR="00D73797" w:rsidRPr="000F386A">
        <w:rPr>
          <w:rFonts w:cstheme="minorHAnsi"/>
          <w:color w:val="000000" w:themeColor="text1"/>
        </w:rPr>
        <w:t xml:space="preserve">tructural </w:t>
      </w:r>
      <w:r>
        <w:rPr>
          <w:rFonts w:cstheme="minorHAnsi"/>
          <w:color w:val="000000" w:themeColor="text1"/>
        </w:rPr>
        <w:t>h</w:t>
      </w:r>
      <w:r w:rsidR="00D73797" w:rsidRPr="000F386A">
        <w:rPr>
          <w:rFonts w:cstheme="minorHAnsi"/>
          <w:color w:val="000000" w:themeColor="text1"/>
        </w:rPr>
        <w:t>ierarchies</w:t>
      </w:r>
      <w:r w:rsidR="00D73797" w:rsidRPr="000F386A">
        <w:rPr>
          <w:rFonts w:cstheme="minorHAnsi"/>
          <w:b/>
          <w:color w:val="000000" w:themeColor="text1"/>
        </w:rPr>
        <w:t xml:space="preserve"> </w:t>
      </w:r>
      <w:r w:rsidR="00D73797" w:rsidRPr="000F386A">
        <w:rPr>
          <w:rFonts w:cstheme="minorHAnsi"/>
          <w:color w:val="000000" w:themeColor="text1"/>
        </w:rPr>
        <w:t>and barriers to equity and access to build constructive relationships and transform SSU’s cultural narratives around race</w:t>
      </w:r>
    </w:p>
    <w:p w14:paraId="258D3BF2" w14:textId="2CB085BF" w:rsidR="00D73797" w:rsidRPr="000F386A" w:rsidRDefault="00D73797" w:rsidP="00D73797">
      <w:pPr>
        <w:pBdr>
          <w:top w:val="nil"/>
          <w:left w:val="nil"/>
          <w:bottom w:val="nil"/>
          <w:right w:val="nil"/>
          <w:between w:val="nil"/>
        </w:pBdr>
        <w:spacing w:after="0" w:line="480" w:lineRule="auto"/>
        <w:ind w:firstLine="360"/>
        <w:rPr>
          <w:rFonts w:cstheme="minorHAnsi"/>
          <w:color w:val="000000" w:themeColor="text1"/>
        </w:rPr>
      </w:pPr>
      <w:r w:rsidRPr="000F386A">
        <w:rPr>
          <w:rFonts w:cstheme="minorHAnsi"/>
          <w:color w:val="000000" w:themeColor="text1"/>
        </w:rPr>
        <w:t>SSU’s strategic plan will be updated based on the findings from these surveys and analyses, following a series of stakeholder discussions about the results and next steps.</w:t>
      </w:r>
      <w:r w:rsidR="00925B41">
        <w:rPr>
          <w:rFonts w:cstheme="minorHAnsi"/>
          <w:color w:val="000000" w:themeColor="text1"/>
        </w:rPr>
        <w:t xml:space="preserve"> </w:t>
      </w:r>
    </w:p>
    <w:p w14:paraId="36416C76" w14:textId="77777777" w:rsidR="00D73797" w:rsidRPr="000F386A" w:rsidRDefault="00D73797" w:rsidP="00D73797">
      <w:pPr>
        <w:pBdr>
          <w:top w:val="nil"/>
          <w:left w:val="nil"/>
          <w:bottom w:val="nil"/>
          <w:right w:val="nil"/>
          <w:between w:val="nil"/>
        </w:pBdr>
        <w:spacing w:after="0" w:line="480" w:lineRule="auto"/>
        <w:ind w:firstLine="360"/>
        <w:rPr>
          <w:rFonts w:cstheme="minorHAnsi"/>
          <w:color w:val="000000" w:themeColor="text1"/>
        </w:rPr>
      </w:pPr>
      <w:r w:rsidRPr="000F386A">
        <w:rPr>
          <w:rFonts w:cstheme="minorHAnsi"/>
          <w:color w:val="000000" w:themeColor="text1"/>
        </w:rPr>
        <w:t>Additional diversity-related goals for the next five (5) years include:</w:t>
      </w:r>
    </w:p>
    <w:p w14:paraId="06EAB187"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Continuing the GI2025 efforts to close equity and achievement gaps</w:t>
      </w:r>
    </w:p>
    <w:p w14:paraId="74A94688"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Expanding admissions outreach to Hispanic students as well as other underrepresented students</w:t>
      </w:r>
    </w:p>
    <w:p w14:paraId="1D03BBFB" w14:textId="600FDF8B"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 xml:space="preserve">Continuing to integrate the ideas generated through core values discussions at the </w:t>
      </w:r>
      <w:r w:rsidR="0062137D">
        <w:rPr>
          <w:rFonts w:cstheme="minorHAnsi"/>
          <w:color w:val="000000" w:themeColor="text1"/>
        </w:rPr>
        <w:t>d</w:t>
      </w:r>
      <w:r w:rsidR="0062137D" w:rsidRPr="000F386A">
        <w:rPr>
          <w:rFonts w:cstheme="minorHAnsi"/>
          <w:color w:val="000000" w:themeColor="text1"/>
        </w:rPr>
        <w:t xml:space="preserve">iversity </w:t>
      </w:r>
      <w:r w:rsidRPr="000F386A">
        <w:rPr>
          <w:rFonts w:cstheme="minorHAnsi"/>
          <w:color w:val="000000" w:themeColor="text1"/>
        </w:rPr>
        <w:t xml:space="preserve">and </w:t>
      </w:r>
      <w:r w:rsidR="0062137D">
        <w:rPr>
          <w:rFonts w:cstheme="minorHAnsi"/>
          <w:color w:val="000000" w:themeColor="text1"/>
        </w:rPr>
        <w:t>s</w:t>
      </w:r>
      <w:r w:rsidR="0062137D" w:rsidRPr="000F386A">
        <w:rPr>
          <w:rFonts w:cstheme="minorHAnsi"/>
          <w:color w:val="000000" w:themeColor="text1"/>
        </w:rPr>
        <w:t xml:space="preserve">ocial </w:t>
      </w:r>
      <w:r w:rsidR="0062137D">
        <w:rPr>
          <w:rFonts w:cstheme="minorHAnsi"/>
          <w:color w:val="000000" w:themeColor="text1"/>
        </w:rPr>
        <w:t>j</w:t>
      </w:r>
      <w:r w:rsidR="0062137D" w:rsidRPr="000F386A">
        <w:rPr>
          <w:rFonts w:cstheme="minorHAnsi"/>
          <w:color w:val="000000" w:themeColor="text1"/>
        </w:rPr>
        <w:t xml:space="preserve">ustice </w:t>
      </w:r>
      <w:r w:rsidR="0062137D">
        <w:rPr>
          <w:rFonts w:cstheme="minorHAnsi"/>
          <w:color w:val="000000" w:themeColor="text1"/>
        </w:rPr>
        <w:t>w</w:t>
      </w:r>
      <w:r w:rsidR="0062137D" w:rsidRPr="000F386A">
        <w:rPr>
          <w:rFonts w:cstheme="minorHAnsi"/>
          <w:color w:val="000000" w:themeColor="text1"/>
        </w:rPr>
        <w:t xml:space="preserve">orld </w:t>
      </w:r>
      <w:r w:rsidR="0062137D">
        <w:rPr>
          <w:rFonts w:cstheme="minorHAnsi"/>
          <w:color w:val="000000" w:themeColor="text1"/>
        </w:rPr>
        <w:t>c</w:t>
      </w:r>
      <w:r w:rsidR="0062137D" w:rsidRPr="000F386A">
        <w:rPr>
          <w:rFonts w:cstheme="minorHAnsi"/>
          <w:color w:val="000000" w:themeColor="text1"/>
        </w:rPr>
        <w:t>af</w:t>
      </w:r>
      <w:r w:rsidR="0062137D">
        <w:rPr>
          <w:rFonts w:ascii="Calibri" w:hAnsi="Calibri" w:cs="Calibri"/>
          <w:color w:val="000000" w:themeColor="text1"/>
        </w:rPr>
        <w:t>é</w:t>
      </w:r>
      <w:r w:rsidR="0062137D" w:rsidRPr="000F386A">
        <w:rPr>
          <w:rFonts w:cstheme="minorHAnsi"/>
          <w:color w:val="000000" w:themeColor="text1"/>
        </w:rPr>
        <w:t xml:space="preserve">s </w:t>
      </w:r>
      <w:r w:rsidRPr="000F386A">
        <w:rPr>
          <w:rFonts w:cstheme="minorHAnsi"/>
          <w:color w:val="000000" w:themeColor="text1"/>
        </w:rPr>
        <w:t xml:space="preserve">from </w:t>
      </w:r>
      <w:r w:rsidR="00841753">
        <w:rPr>
          <w:rFonts w:cstheme="minorHAnsi"/>
          <w:color w:val="000000" w:themeColor="text1"/>
        </w:rPr>
        <w:t>fall</w:t>
      </w:r>
      <w:r w:rsidRPr="000F386A">
        <w:rPr>
          <w:rFonts w:cstheme="minorHAnsi"/>
          <w:color w:val="000000" w:themeColor="text1"/>
        </w:rPr>
        <w:t xml:space="preserve"> 2018</w:t>
      </w:r>
    </w:p>
    <w:p w14:paraId="036F3AE1" w14:textId="5C3A9294"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lastRenderedPageBreak/>
        <w:t>Developing a racial injustice symposium series</w:t>
      </w:r>
      <w:r w:rsidR="001669CE">
        <w:rPr>
          <w:rFonts w:cstheme="minorHAnsi"/>
          <w:color w:val="000000" w:themeColor="text1"/>
        </w:rPr>
        <w:t xml:space="preserve"> </w:t>
      </w:r>
      <w:r w:rsidRPr="000F386A">
        <w:rPr>
          <w:rFonts w:cstheme="minorHAnsi"/>
          <w:color w:val="000000" w:themeColor="text1"/>
        </w:rPr>
        <w:t xml:space="preserve">and a social justice center through the leadership of SSU’s </w:t>
      </w:r>
      <w:r w:rsidR="0062137D">
        <w:rPr>
          <w:rFonts w:cstheme="minorHAnsi"/>
          <w:color w:val="000000" w:themeColor="text1"/>
        </w:rPr>
        <w:t>CDO</w:t>
      </w:r>
    </w:p>
    <w:p w14:paraId="5D327E69"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Increasing diversity and equity in recruitment of staff and faculty</w:t>
      </w:r>
    </w:p>
    <w:p w14:paraId="2C5A164F"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Continuing to build a strong and engaged campus community</w:t>
      </w:r>
    </w:p>
    <w:p w14:paraId="1716A8FF"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Continuing to foster anti-racist values and promote social justice</w:t>
      </w:r>
    </w:p>
    <w:p w14:paraId="5B5DFF60" w14:textId="77777777" w:rsidR="00D73797" w:rsidRPr="000F386A" w:rsidRDefault="00D73797" w:rsidP="00DA5365">
      <w:pPr>
        <w:numPr>
          <w:ilvl w:val="0"/>
          <w:numId w:val="24"/>
        </w:numPr>
        <w:pBdr>
          <w:top w:val="nil"/>
          <w:left w:val="nil"/>
          <w:bottom w:val="nil"/>
          <w:right w:val="nil"/>
          <w:between w:val="nil"/>
        </w:pBdr>
        <w:spacing w:after="0" w:line="240" w:lineRule="auto"/>
        <w:rPr>
          <w:rFonts w:cstheme="minorHAnsi"/>
          <w:color w:val="000000" w:themeColor="text1"/>
        </w:rPr>
      </w:pPr>
      <w:r w:rsidRPr="000F386A">
        <w:rPr>
          <w:rFonts w:cstheme="minorHAnsi"/>
          <w:color w:val="000000" w:themeColor="text1"/>
        </w:rPr>
        <w:t>Continuing to synchronize all main campus divisions in the work of diversity, equity, and inclusion</w:t>
      </w:r>
    </w:p>
    <w:p w14:paraId="401ADD51" w14:textId="77777777" w:rsidR="00D73797" w:rsidRPr="000F386A" w:rsidRDefault="00D73797" w:rsidP="00D73797">
      <w:pPr>
        <w:pBdr>
          <w:top w:val="nil"/>
          <w:left w:val="nil"/>
          <w:bottom w:val="nil"/>
          <w:right w:val="nil"/>
          <w:between w:val="nil"/>
        </w:pBdr>
        <w:spacing w:after="0" w:line="240" w:lineRule="auto"/>
        <w:rPr>
          <w:rFonts w:cstheme="minorHAnsi"/>
          <w:color w:val="000000" w:themeColor="text1"/>
        </w:rPr>
      </w:pPr>
    </w:p>
    <w:p w14:paraId="628ED38F" w14:textId="578E45AF" w:rsidR="001669CE" w:rsidRDefault="00D73797" w:rsidP="00D73797">
      <w:pPr>
        <w:spacing w:line="480" w:lineRule="auto"/>
        <w:ind w:firstLine="360"/>
        <w:rPr>
          <w:rFonts w:asciiTheme="majorHAnsi" w:hAnsiTheme="majorHAnsi" w:cstheme="majorHAnsi"/>
          <w:color w:val="000000" w:themeColor="text1"/>
        </w:rPr>
      </w:pPr>
      <w:r w:rsidRPr="000F386A">
        <w:rPr>
          <w:rFonts w:cstheme="minorHAnsi"/>
          <w:color w:val="000000" w:themeColor="text1"/>
        </w:rPr>
        <w:t xml:space="preserve">In addition to these initiatives, programs, events, and structural changes, SSU is working on establishing an evaluation and assessment rubric for the campus, which will not only measure the success of individual </w:t>
      </w:r>
      <w:r w:rsidR="001669CE">
        <w:rPr>
          <w:rFonts w:cstheme="minorHAnsi"/>
          <w:color w:val="000000" w:themeColor="text1"/>
        </w:rPr>
        <w:t xml:space="preserve">DEI </w:t>
      </w:r>
      <w:r w:rsidRPr="000F386A">
        <w:rPr>
          <w:rFonts w:cstheme="minorHAnsi"/>
          <w:color w:val="000000" w:themeColor="text1"/>
        </w:rPr>
        <w:t>efforts but will also attempt to understand the synergistic effect of multiple programs on student success, faculty and staff hiring, and overall campus well-being.</w:t>
      </w:r>
      <w:r w:rsidRPr="00003B00">
        <w:rPr>
          <w:rFonts w:asciiTheme="majorHAnsi" w:hAnsiTheme="majorHAnsi" w:cstheme="majorHAnsi"/>
          <w:color w:val="000000" w:themeColor="text1"/>
        </w:rPr>
        <w:t xml:space="preserve"> </w:t>
      </w:r>
    </w:p>
    <w:p w14:paraId="4EF982B5" w14:textId="77777777" w:rsidR="001669CE" w:rsidRDefault="001669CE">
      <w:r>
        <w:br w:type="page"/>
      </w:r>
    </w:p>
    <w:p w14:paraId="551842BA" w14:textId="77777777" w:rsidR="001669CE" w:rsidRPr="00FF6EE9" w:rsidRDefault="001669CE" w:rsidP="0076707C">
      <w:pPr>
        <w:pStyle w:val="Heading1"/>
        <w:jc w:val="center"/>
      </w:pPr>
      <w:r w:rsidRPr="00FF6EE9">
        <w:lastRenderedPageBreak/>
        <w:t>SSU’s Follow-up Response to Recommendation #7</w:t>
      </w:r>
    </w:p>
    <w:p w14:paraId="1EC4C5C5" w14:textId="77777777" w:rsidR="001669CE" w:rsidRPr="0076707C" w:rsidRDefault="001669CE" w:rsidP="00FF6EE9">
      <w:pPr>
        <w:spacing w:after="0" w:line="240" w:lineRule="auto"/>
        <w:ind w:left="1440" w:right="1440"/>
        <w:jc w:val="center"/>
        <w:rPr>
          <w:rStyle w:val="Emphasis"/>
        </w:rPr>
      </w:pPr>
      <w:r w:rsidRPr="0076707C">
        <w:rPr>
          <w:rStyle w:val="Emphasis"/>
        </w:rPr>
        <w:t xml:space="preserve">[Formally articulating what it means to be </w:t>
      </w:r>
      <w:proofErr w:type="gramStart"/>
      <w:r w:rsidRPr="0076707C">
        <w:rPr>
          <w:rStyle w:val="Emphasis"/>
        </w:rPr>
        <w:t>a</w:t>
      </w:r>
      <w:proofErr w:type="gramEnd"/>
      <w:r w:rsidRPr="0076707C">
        <w:rPr>
          <w:rStyle w:val="Emphasis"/>
        </w:rPr>
        <w:t xml:space="preserve"> SSU undergraduate or graduate student. (CFRs 1.2 and 2.2-2.4)]</w:t>
      </w:r>
    </w:p>
    <w:p w14:paraId="7DE3D521" w14:textId="77777777" w:rsidR="001669CE" w:rsidRDefault="001669CE" w:rsidP="001669CE">
      <w:pPr>
        <w:jc w:val="center"/>
        <w:rPr>
          <w:b/>
          <w:sz w:val="16"/>
          <w:szCs w:val="16"/>
        </w:rPr>
      </w:pPr>
    </w:p>
    <w:p w14:paraId="6B7777E1" w14:textId="6B7C3602" w:rsidR="001669CE" w:rsidRDefault="001669CE" w:rsidP="001669CE">
      <w:pPr>
        <w:spacing w:line="480" w:lineRule="auto"/>
        <w:ind w:firstLine="720"/>
        <w:rPr>
          <w:sz w:val="18"/>
          <w:szCs w:val="18"/>
        </w:rPr>
      </w:pPr>
      <w:r>
        <w:t xml:space="preserve">Since </w:t>
      </w:r>
      <w:r w:rsidR="002F088A">
        <w:t xml:space="preserve">WSCUC’s </w:t>
      </w:r>
      <w:r>
        <w:t>2017 visit, Sonoma State University has gained a sharper focus on what it means to be an SSU student. Within a liberal arts grounding, an SSU student is one who earns a meaningful degree reinforced by experiential learning, interdisciplinary connections, and outward engagement, in a community committed to helping them succeed. The campus has engaged in large-scale conversations and structural changes that demonstrate the convergence of thinking that has occurred around the distinguishing features of the undergraduate and graduate student experience. Additionally, there is a greater appreciation for learning outcomes, standards, and assessment.</w:t>
      </w:r>
    </w:p>
    <w:p w14:paraId="613ED3FE" w14:textId="63C3505D" w:rsidR="001669CE" w:rsidRDefault="001669CE" w:rsidP="0076707C">
      <w:pPr>
        <w:pStyle w:val="Heading2"/>
      </w:pPr>
      <w:r>
        <w:t>General Education Reform and The Seawolf Experience</w:t>
      </w:r>
      <w:r w:rsidR="0076707C">
        <w:br/>
      </w:r>
    </w:p>
    <w:p w14:paraId="4257AEC9" w14:textId="0FEB6B78" w:rsidR="001669CE" w:rsidRDefault="001669CE" w:rsidP="001669CE">
      <w:pPr>
        <w:spacing w:after="0" w:line="480" w:lineRule="auto"/>
        <w:ind w:firstLine="720"/>
      </w:pPr>
      <w:r>
        <w:t xml:space="preserve">The campus established clear educational objectives for undergraduate students through a comprehensive review and reform of the </w:t>
      </w:r>
      <w:r w:rsidR="0062137D">
        <w:t>GE</w:t>
      </w:r>
      <w:r>
        <w:t xml:space="preserve"> curriculum</w:t>
      </w:r>
      <w:r w:rsidR="00C64ADB">
        <w:t xml:space="preserve"> (</w:t>
      </w:r>
      <w:r w:rsidR="0062137D">
        <w:t xml:space="preserve">see </w:t>
      </w:r>
      <w:r w:rsidR="0062137D" w:rsidRPr="00411167">
        <w:t>a</w:t>
      </w:r>
      <w:r w:rsidR="00DB2390" w:rsidRPr="00411167">
        <w:t>ppendix</w:t>
      </w:r>
      <w:r w:rsidR="00C64ADB" w:rsidRPr="00411167">
        <w:t xml:space="preserve"> 7</w:t>
      </w:r>
      <w:r w:rsidR="00C64ADB">
        <w:t xml:space="preserve"> for links to information on the GE reform process)</w:t>
      </w:r>
      <w:r>
        <w:t xml:space="preserve">. A program review of GE was finalized in </w:t>
      </w:r>
      <w:r w:rsidR="00841753">
        <w:t>fall</w:t>
      </w:r>
      <w:r>
        <w:t xml:space="preserve"> 2017, which resulted in recommendations for a major overhaul that would create a more intentional curriculum for students. In January 2018, a faculty retreat focused on the meaning of GE, the challenges faced by departments and students, and the pros and cons of GE models used on other campuses. Subsequently, the GE </w:t>
      </w:r>
      <w:r w:rsidR="0062137D">
        <w:t xml:space="preserve">revision subcommittee </w:t>
      </w:r>
      <w:r>
        <w:t xml:space="preserve">(GERS) </w:t>
      </w:r>
      <w:r w:rsidR="00C518D1">
        <w:t xml:space="preserve">of the </w:t>
      </w:r>
      <w:r w:rsidR="0062137D">
        <w:t>EPC</w:t>
      </w:r>
      <w:r w:rsidR="00C518D1">
        <w:t xml:space="preserve"> </w:t>
      </w:r>
      <w:r>
        <w:t xml:space="preserve">was formed in March 2018 </w:t>
      </w:r>
      <w:r w:rsidR="00C518D1">
        <w:t>and was</w:t>
      </w:r>
      <w:r>
        <w:t xml:space="preserve"> tasked with developing a new model for GE. GERS began by considering the role of GE in a student’s broader college education and development. This led the committee to develop the conceptual framework of “The Seawolf Experience,” a bird’s eye view of a lower- and upper-division college education at SSU, both inside and outside the classroom, addressed to the incoming student</w:t>
      </w:r>
      <w:r w:rsidR="00C64ADB">
        <w:t xml:space="preserve"> (</w:t>
      </w:r>
      <w:r w:rsidR="002F088A">
        <w:t>s</w:t>
      </w:r>
      <w:r w:rsidR="00C64ADB">
        <w:t xml:space="preserve">ee </w:t>
      </w:r>
      <w:r w:rsidR="0062137D" w:rsidRPr="00411167">
        <w:t>a</w:t>
      </w:r>
      <w:r w:rsidR="00DB2390" w:rsidRPr="00411167">
        <w:t>ppendix</w:t>
      </w:r>
      <w:r w:rsidR="00C64ADB" w:rsidRPr="00411167">
        <w:t xml:space="preserve"> 7</w:t>
      </w:r>
      <w:r w:rsidR="00C64ADB">
        <w:t xml:space="preserve"> for links to information on the Seawolf Experience)</w:t>
      </w:r>
      <w:r>
        <w:t xml:space="preserve">. The Seawolf Experience includes, but is not limited to, GE. Here </w:t>
      </w:r>
      <w:r w:rsidR="00C64ADB">
        <w:t>is an</w:t>
      </w:r>
      <w:r>
        <w:t xml:space="preserve"> excerpt from a larger narrative on this framework:</w:t>
      </w:r>
    </w:p>
    <w:p w14:paraId="38D923FF" w14:textId="46AAC119" w:rsidR="001669CE" w:rsidRPr="0076707C" w:rsidRDefault="001669CE" w:rsidP="001669CE">
      <w:pPr>
        <w:spacing w:after="0" w:line="240" w:lineRule="auto"/>
        <w:ind w:left="1080" w:right="1080"/>
        <w:rPr>
          <w:rStyle w:val="Emphasis"/>
        </w:rPr>
      </w:pPr>
      <w:r w:rsidRPr="0076707C">
        <w:rPr>
          <w:rStyle w:val="Emphasis"/>
        </w:rPr>
        <w:lastRenderedPageBreak/>
        <w:t>Whether you come to Sonoma State as a first-year or transfer student, the Seawolf Experience makes you part of the SSU community – people who are passionate about academic excellence, community and civic engagement, diversity, sustainability, and lifelong learning. During your first two years of college, you will lay the foundation for college success and begin to explore areas of interest. During your last two years of college, you will build on your lower-division foundation, reflect on what you have learned and where you are going, and integrate your knowledge and experiences as you begin to move toward professional and civic engagement.</w:t>
      </w:r>
    </w:p>
    <w:p w14:paraId="7D46B258" w14:textId="77777777" w:rsidR="001669CE" w:rsidRDefault="001669CE" w:rsidP="001669CE">
      <w:pPr>
        <w:spacing w:after="0" w:line="240" w:lineRule="auto"/>
      </w:pPr>
    </w:p>
    <w:p w14:paraId="1C34C977" w14:textId="2778E79E" w:rsidR="001669CE" w:rsidRDefault="001669CE" w:rsidP="001669CE">
      <w:pPr>
        <w:spacing w:after="0" w:line="480" w:lineRule="auto"/>
        <w:ind w:firstLine="720"/>
      </w:pPr>
      <w:r>
        <w:t>With the Seawolf Experience as a foundation, GERS developed an initial statement of purpose for GE, learning goals, and learning outcomes, and then sought input from campus stakeholders about these statements and goals through meetings with faculty, staff, and students, through consultations with EPC and the GE Subcommittee, and through the circulation of a campus-wide survey. Extensive feedback from campus stakeholders was incorporated</w:t>
      </w:r>
      <w:r w:rsidR="00C64ADB">
        <w:t>,</w:t>
      </w:r>
      <w:r>
        <w:t xml:space="preserve"> and then GERS developed a model for GE based on goals/outcomes, campus feedback, the new </w:t>
      </w:r>
      <w:r w:rsidR="0062137D">
        <w:t>strategic p</w:t>
      </w:r>
      <w:r>
        <w:t xml:space="preserve">lan, parameters established by </w:t>
      </w:r>
      <w:r w:rsidR="0062137D">
        <w:t xml:space="preserve">chancellor’s office </w:t>
      </w:r>
      <w:r>
        <w:t xml:space="preserve">executive orders, and models from other universities, while working to keep in mind the constraints of existing SSU programs. The proposal for the new GE model was presented to the </w:t>
      </w:r>
      <w:r w:rsidR="0062137D">
        <w:t xml:space="preserve">academic senate </w:t>
      </w:r>
      <w:r>
        <w:t xml:space="preserve">in October 2018, went through a series of revisions, and was approved in </w:t>
      </w:r>
      <w:r w:rsidR="00354D18">
        <w:t xml:space="preserve">May </w:t>
      </w:r>
      <w:r>
        <w:t xml:space="preserve">2019. The statement of purpose for SSU’s new GE curriculum is as follows: </w:t>
      </w:r>
    </w:p>
    <w:p w14:paraId="3021987F" w14:textId="77777777" w:rsidR="001669CE" w:rsidRDefault="001669CE" w:rsidP="001669CE">
      <w:pPr>
        <w:spacing w:after="0" w:line="240" w:lineRule="auto"/>
        <w:ind w:left="1080" w:right="1080"/>
        <w:rPr>
          <w:i/>
          <w:sz w:val="20"/>
          <w:szCs w:val="20"/>
        </w:rPr>
      </w:pPr>
      <w:r w:rsidRPr="0076707C">
        <w:rPr>
          <w:rStyle w:val="Emphasis"/>
          <w:highlight w:val="white"/>
        </w:rPr>
        <w:t>The Sonoma State General Education Program provides students an intentional, coherent, inclusive undergraduate experience across multiple disciplinary perspectives, fostering broad transferable skills and integrated, engaged learning that position students to create and participate meaningfully and ethically in our interconnected and interdependent world</w:t>
      </w:r>
      <w:r>
        <w:rPr>
          <w:i/>
          <w:sz w:val="20"/>
          <w:szCs w:val="20"/>
          <w:highlight w:val="white"/>
        </w:rPr>
        <w:t>.</w:t>
      </w:r>
    </w:p>
    <w:p w14:paraId="13E417CE" w14:textId="77777777" w:rsidR="001669CE" w:rsidRDefault="001669CE" w:rsidP="001669CE">
      <w:pPr>
        <w:spacing w:after="0" w:line="240" w:lineRule="auto"/>
      </w:pPr>
    </w:p>
    <w:p w14:paraId="3072013E" w14:textId="5701E9CB" w:rsidR="001669CE" w:rsidRDefault="001669CE" w:rsidP="001669CE">
      <w:pPr>
        <w:spacing w:after="0" w:line="480" w:lineRule="auto"/>
      </w:pPr>
      <w:r>
        <w:t>The new GE model includes ongoing assessment of the program’s 13 learning outcomes</w:t>
      </w:r>
      <w:r w:rsidR="00685C2F">
        <w:t xml:space="preserve"> (see response to recommendation 2 for more on these learning outcomes)</w:t>
      </w:r>
      <w:r>
        <w:t>. The twin assessment goals are to improve the GE program and to improve student learning to ensure that students have a unifying skills-based experience grounded in liberal arts.</w:t>
      </w:r>
      <w:r w:rsidR="00C64ADB">
        <w:t xml:space="preserve"> The assessment pro</w:t>
      </w:r>
      <w:r w:rsidR="005E05F7">
        <w:t>cess is described below</w:t>
      </w:r>
      <w:r w:rsidR="0088756E">
        <w:t>.</w:t>
      </w:r>
    </w:p>
    <w:p w14:paraId="2F55F79B" w14:textId="56EEDA13" w:rsidR="001669CE" w:rsidRDefault="001669CE" w:rsidP="0076707C">
      <w:pPr>
        <w:pStyle w:val="Heading2"/>
      </w:pPr>
      <w:r>
        <w:lastRenderedPageBreak/>
        <w:t>Enhanced Focus on Graduate Students and Graduate Programs</w:t>
      </w:r>
      <w:r w:rsidR="0076707C">
        <w:br/>
      </w:r>
    </w:p>
    <w:p w14:paraId="1008B41A" w14:textId="26F97D96" w:rsidR="001669CE" w:rsidRDefault="001669CE" w:rsidP="001669CE">
      <w:pPr>
        <w:spacing w:after="0" w:line="480" w:lineRule="auto"/>
        <w:ind w:firstLine="720"/>
      </w:pPr>
      <w:r>
        <w:t xml:space="preserve">In May 2018, the </w:t>
      </w:r>
      <w:r w:rsidR="0062137D">
        <w:t xml:space="preserve">academic senate </w:t>
      </w:r>
      <w:r>
        <w:t xml:space="preserve">reviewed two brief summary reports on graduate faculty and graduate students, which were compiled by the </w:t>
      </w:r>
      <w:r w:rsidR="0062137D">
        <w:t xml:space="preserve">graduate studies subcommittee </w:t>
      </w:r>
      <w:r>
        <w:t>(GSS)</w:t>
      </w:r>
      <w:r w:rsidR="00685C2F">
        <w:t xml:space="preserve"> (see </w:t>
      </w:r>
      <w:r w:rsidR="00685C2F" w:rsidRPr="00411167">
        <w:t>appendix 7</w:t>
      </w:r>
      <w:r w:rsidR="00685C2F">
        <w:t xml:space="preserve"> for a link to the reports and to the GSS website)</w:t>
      </w:r>
      <w:r>
        <w:t xml:space="preserve">. These reports indicated two findings of note: (1) graduate students and faculty were very satisfied with the education and training received and provided by SSU, and the mentorship provided in research, teaching, and internships, and (2) there were marked deficits in funding, administrative leadership, support services, professional development, and access to resources for SSU graduate programs. The findings corresponded with the general perceptions of invisibility, under-appreciation, and lack of support provided to graduate programs on campus. To follow up on these brief reports, in </w:t>
      </w:r>
      <w:r w:rsidR="00841753">
        <w:t>fall</w:t>
      </w:r>
      <w:r>
        <w:t xml:space="preserve"> 2018 the Senate asked the GSS to report on the state of SSU’s graduate education. Delivered in </w:t>
      </w:r>
      <w:r w:rsidR="00390AEB">
        <w:t>s</w:t>
      </w:r>
      <w:r>
        <w:t>pring 2019, the report addressed four significant areas and provided the following recommendations:</w:t>
      </w:r>
    </w:p>
    <w:p w14:paraId="38F2052A" w14:textId="77777777" w:rsidR="001669CE" w:rsidRPr="0076707C" w:rsidRDefault="001669CE" w:rsidP="00DA5365">
      <w:pPr>
        <w:pStyle w:val="ListParagraph"/>
        <w:numPr>
          <w:ilvl w:val="0"/>
          <w:numId w:val="38"/>
        </w:numPr>
        <w:spacing w:after="0" w:line="240" w:lineRule="auto"/>
        <w:ind w:left="1080" w:right="1080"/>
        <w:rPr>
          <w:rStyle w:val="SubtleEmphasis"/>
        </w:rPr>
      </w:pPr>
      <w:r w:rsidRPr="0076707C">
        <w:rPr>
          <w:rStyle w:val="SubtleEmphasis"/>
        </w:rPr>
        <w:t>Create an administrative and faculty governance infrastructure focusing specifically on graduate education at SSU. Ensure funding for this division with appropriate administrative leadership and operating expenses. Part of the purview of this office is to review state-support and self-support program policies and compensations to ensure equitable use of resources.</w:t>
      </w:r>
    </w:p>
    <w:p w14:paraId="37BCED2E" w14:textId="77777777" w:rsidR="001669CE" w:rsidRPr="0076707C" w:rsidRDefault="001669CE" w:rsidP="00DA5365">
      <w:pPr>
        <w:pStyle w:val="ListParagraph"/>
        <w:numPr>
          <w:ilvl w:val="0"/>
          <w:numId w:val="38"/>
        </w:numPr>
        <w:spacing w:after="0" w:line="240" w:lineRule="auto"/>
        <w:ind w:left="1080" w:right="1080"/>
        <w:rPr>
          <w:rStyle w:val="SubtleEmphasis"/>
        </w:rPr>
      </w:pPr>
      <w:r w:rsidRPr="0076707C">
        <w:rPr>
          <w:rStyle w:val="SubtleEmphasis"/>
        </w:rPr>
        <w:t>Create an integrated financial support system across state-supported and self-support programs that provides funding for graduate education, paid teaching and research positions, tuition fee waivers, scholarships and awards, and grant development for graduate students, so that an integrated funding package can be marketed and offered to incoming and continuing students.</w:t>
      </w:r>
    </w:p>
    <w:p w14:paraId="65E3DE24" w14:textId="77777777" w:rsidR="001669CE" w:rsidRPr="0076707C" w:rsidRDefault="001669CE" w:rsidP="00DA5365">
      <w:pPr>
        <w:pStyle w:val="ListParagraph"/>
        <w:numPr>
          <w:ilvl w:val="0"/>
          <w:numId w:val="38"/>
        </w:numPr>
        <w:spacing w:after="0" w:line="240" w:lineRule="auto"/>
        <w:ind w:left="1080" w:right="1080"/>
        <w:rPr>
          <w:rStyle w:val="SubtleEmphasis"/>
        </w:rPr>
      </w:pPr>
      <w:r w:rsidRPr="0076707C">
        <w:rPr>
          <w:rStyle w:val="SubtleEmphasis"/>
        </w:rPr>
        <w:t>Create an integrated graduate program development strategy for fundraising and program-specific projects.</w:t>
      </w:r>
    </w:p>
    <w:p w14:paraId="71CE0283" w14:textId="77777777" w:rsidR="001669CE" w:rsidRPr="00E818DB" w:rsidRDefault="001669CE" w:rsidP="00DA5365">
      <w:pPr>
        <w:pStyle w:val="ListParagraph"/>
        <w:numPr>
          <w:ilvl w:val="0"/>
          <w:numId w:val="38"/>
        </w:numPr>
        <w:spacing w:after="0" w:line="240" w:lineRule="auto"/>
        <w:ind w:left="1080" w:right="1080"/>
        <w:rPr>
          <w:i/>
          <w:color w:val="000000"/>
          <w:sz w:val="20"/>
          <w:szCs w:val="20"/>
        </w:rPr>
      </w:pPr>
      <w:r w:rsidRPr="0076707C">
        <w:rPr>
          <w:rStyle w:val="SubtleEmphasis"/>
        </w:rPr>
        <w:t>Create integrated support services across state-supported and self-support programs that meet the needs of graduate students which differ in important ways from undergraduates, including career services, professional development, IT support, and mental health</w:t>
      </w:r>
      <w:r w:rsidRPr="00E818DB">
        <w:rPr>
          <w:i/>
          <w:color w:val="000000"/>
          <w:sz w:val="20"/>
          <w:szCs w:val="20"/>
        </w:rPr>
        <w:t>.</w:t>
      </w:r>
    </w:p>
    <w:p w14:paraId="074349F7" w14:textId="77777777" w:rsidR="001669CE" w:rsidRDefault="001669CE" w:rsidP="001669CE">
      <w:pPr>
        <w:spacing w:after="0" w:line="240" w:lineRule="auto"/>
      </w:pPr>
    </w:p>
    <w:p w14:paraId="3B792B46" w14:textId="432AA59F" w:rsidR="001669CE" w:rsidRDefault="001669CE" w:rsidP="001669CE">
      <w:pPr>
        <w:spacing w:after="0" w:line="480" w:lineRule="auto"/>
        <w:ind w:firstLine="720"/>
      </w:pPr>
      <w:r>
        <w:t xml:space="preserve">Since this report, much progress has been made at </w:t>
      </w:r>
      <w:r w:rsidR="00C84994">
        <w:t>SSU</w:t>
      </w:r>
      <w:r>
        <w:t xml:space="preserve">. A half-time faculty position designated as the </w:t>
      </w:r>
      <w:r w:rsidR="0062137D">
        <w:t xml:space="preserve">director </w:t>
      </w:r>
      <w:r>
        <w:t xml:space="preserve">of </w:t>
      </w:r>
      <w:r w:rsidR="0062137D">
        <w:t xml:space="preserve">graduate studies </w:t>
      </w:r>
      <w:r>
        <w:t xml:space="preserve">was created in </w:t>
      </w:r>
      <w:r w:rsidR="0062137D">
        <w:t>the office of academic p</w:t>
      </w:r>
      <w:r>
        <w:t xml:space="preserve">rograms, and the first director was brought on in June 2019. In addition, a full-time </w:t>
      </w:r>
      <w:r w:rsidR="0062137D">
        <w:t xml:space="preserve">graduate analyst </w:t>
      </w:r>
      <w:r>
        <w:t xml:space="preserve">position was created and filled in </w:t>
      </w:r>
      <w:r>
        <w:lastRenderedPageBreak/>
        <w:t xml:space="preserve">June 2019. The director’s work with individual graduate programs has provided a better understanding of the diverse programmatic needs as well as shared needs across programs, leading to increased advocacy. Feedback from across the university indicates that </w:t>
      </w:r>
      <w:r w:rsidR="0062137D">
        <w:t xml:space="preserve">graduate studies </w:t>
      </w:r>
      <w:r>
        <w:t xml:space="preserve">is on people’s radars more than before. </w:t>
      </w:r>
    </w:p>
    <w:p w14:paraId="327DEC28" w14:textId="43373BB0" w:rsidR="001669CE" w:rsidRDefault="001669CE" w:rsidP="001669CE">
      <w:pPr>
        <w:spacing w:after="0" w:line="480" w:lineRule="auto"/>
        <w:ind w:firstLine="720"/>
      </w:pPr>
      <w:r>
        <w:t xml:space="preserve">In </w:t>
      </w:r>
      <w:r w:rsidR="00390AEB">
        <w:t>s</w:t>
      </w:r>
      <w:r>
        <w:t xml:space="preserve">pring 2020, the </w:t>
      </w:r>
      <w:r w:rsidR="00C518D1">
        <w:t>d</w:t>
      </w:r>
      <w:r>
        <w:t xml:space="preserve">irector of </w:t>
      </w:r>
      <w:r w:rsidR="00C518D1">
        <w:t>g</w:t>
      </w:r>
      <w:r>
        <w:t xml:space="preserve">raduate </w:t>
      </w:r>
      <w:r w:rsidR="00C518D1">
        <w:t>s</w:t>
      </w:r>
      <w:r>
        <w:t xml:space="preserve">tudies worked with GSS to develop </w:t>
      </w:r>
      <w:r w:rsidR="0062137D">
        <w:t>graduate-l</w:t>
      </w:r>
      <w:r>
        <w:t xml:space="preserve">evel </w:t>
      </w:r>
      <w:r w:rsidR="0062137D">
        <w:t>learning g</w:t>
      </w:r>
      <w:r>
        <w:t>oals which incorporate SSU’s strategic priorities</w:t>
      </w:r>
      <w:r w:rsidR="00685C2F">
        <w:t xml:space="preserve"> (see </w:t>
      </w:r>
      <w:r w:rsidR="00685C2F" w:rsidRPr="00411167">
        <w:t>appendix 7</w:t>
      </w:r>
      <w:r w:rsidR="00685C2F">
        <w:t xml:space="preserve"> for the graduate-level learning goals)</w:t>
      </w:r>
      <w:r>
        <w:t xml:space="preserve">. The goals focus on advanced levels of critical thinking, communication, disciplinary knowledge, and professional integrity, as well as integrative learning and practical/experiential application. After receiving </w:t>
      </w:r>
      <w:r w:rsidR="0062137D">
        <w:t xml:space="preserve">senate </w:t>
      </w:r>
      <w:r>
        <w:t>approval, these learning goals will be used for graduate program development, ultimately leading to a campus-wide definition of what it means to be an SSU graduate student. In tandem with the goals, GSS has also been formulating a statement on the graduate student identity at SSU.</w:t>
      </w:r>
    </w:p>
    <w:p w14:paraId="23D97833" w14:textId="5F3F4FC5" w:rsidR="001669CE" w:rsidRDefault="001669CE" w:rsidP="001669CE">
      <w:pPr>
        <w:spacing w:after="0" w:line="480" w:lineRule="auto"/>
        <w:ind w:firstLine="720"/>
      </w:pPr>
      <w:r>
        <w:t xml:space="preserve">Through the heightened focus on </w:t>
      </w:r>
      <w:r w:rsidR="00C518D1">
        <w:t>graduate studies</w:t>
      </w:r>
      <w:r>
        <w:t xml:space="preserve">, several other initiatives have been started. The first initiative was to develop a ‘graduate student community’ that extends beyond individual programs for a broader connection to the university as a whole. In </w:t>
      </w:r>
      <w:r w:rsidR="00841753">
        <w:t>fall</w:t>
      </w:r>
      <w:r>
        <w:t xml:space="preserve"> 2019, SSU’s first </w:t>
      </w:r>
      <w:r w:rsidR="00C518D1">
        <w:t xml:space="preserve">graduate student orientation </w:t>
      </w:r>
      <w:r>
        <w:t xml:space="preserve">was launched (and it was offered online in </w:t>
      </w:r>
      <w:r w:rsidR="00841753">
        <w:t>fall</w:t>
      </w:r>
      <w:r>
        <w:t xml:space="preserve"> 2020), and there is a Canvas page for graduate students that describes graduate degree requirements (broad requirements vs. individual program requirements). The first </w:t>
      </w:r>
      <w:r w:rsidR="00C518D1">
        <w:t>g</w:t>
      </w:r>
      <w:r>
        <w:t xml:space="preserve">raduate </w:t>
      </w:r>
      <w:r w:rsidR="00C518D1">
        <w:t>s</w:t>
      </w:r>
      <w:r>
        <w:t xml:space="preserve">tudent </w:t>
      </w:r>
      <w:r w:rsidR="00C518D1">
        <w:t>m</w:t>
      </w:r>
      <w:r>
        <w:t xml:space="preserve">ixer was held in </w:t>
      </w:r>
      <w:r w:rsidR="00841753">
        <w:t>fall</w:t>
      </w:r>
      <w:r>
        <w:t xml:space="preserve"> 2019. In addition, </w:t>
      </w:r>
      <w:r w:rsidR="00C518D1">
        <w:t>the office of a</w:t>
      </w:r>
      <w:r>
        <w:t xml:space="preserve">cademic </w:t>
      </w:r>
      <w:r w:rsidR="00C518D1">
        <w:t>p</w:t>
      </w:r>
      <w:r>
        <w:t xml:space="preserve">rograms added a dedicated website for </w:t>
      </w:r>
      <w:r w:rsidR="00C518D1">
        <w:t>g</w:t>
      </w:r>
      <w:r>
        <w:t xml:space="preserve">raduate </w:t>
      </w:r>
      <w:r w:rsidR="00C518D1">
        <w:t>s</w:t>
      </w:r>
      <w:r>
        <w:t>tudies</w:t>
      </w:r>
      <w:r w:rsidR="00685C2F">
        <w:t xml:space="preserve"> (see </w:t>
      </w:r>
      <w:r w:rsidR="00685C2F" w:rsidRPr="00411167">
        <w:t>appendix 7</w:t>
      </w:r>
      <w:r w:rsidR="00685C2F">
        <w:t xml:space="preserve"> for a link to the website)</w:t>
      </w:r>
      <w:r>
        <w:t xml:space="preserve">. A second initiative was to foster community partnerships in an effort to work towards the development of a community-based </w:t>
      </w:r>
      <w:r w:rsidR="00C518D1">
        <w:t>g</w:t>
      </w:r>
      <w:r>
        <w:t xml:space="preserve">raduate </w:t>
      </w:r>
      <w:r w:rsidR="00C518D1">
        <w:t>a</w:t>
      </w:r>
      <w:r>
        <w:t xml:space="preserve">ssistant </w:t>
      </w:r>
      <w:r w:rsidR="00C518D1">
        <w:t>p</w:t>
      </w:r>
      <w:r>
        <w:t xml:space="preserve">rogram. A pilot program </w:t>
      </w:r>
      <w:r w:rsidR="0088756E">
        <w:t>was underway</w:t>
      </w:r>
      <w:r>
        <w:t xml:space="preserve"> with SSU’s </w:t>
      </w:r>
      <w:proofErr w:type="spellStart"/>
      <w:r w:rsidR="00C518D1">
        <w:t>Master’s</w:t>
      </w:r>
      <w:proofErr w:type="spellEnd"/>
      <w:r w:rsidR="00C518D1">
        <w:t xml:space="preserve"> of Public Administration </w:t>
      </w:r>
      <w:r>
        <w:t>program and the City of Petaluma</w:t>
      </w:r>
      <w:r w:rsidR="0088756E">
        <w:t xml:space="preserve"> when the pandemic forced delays. The program will be able to resume once in-person community engagement begins again</w:t>
      </w:r>
      <w:r>
        <w:t xml:space="preserve">. A third </w:t>
      </w:r>
      <w:r>
        <w:lastRenderedPageBreak/>
        <w:t xml:space="preserve">initiative is to enhance the support provided to graduate students, and this has been addressed in multiple ways as follows: </w:t>
      </w:r>
    </w:p>
    <w:p w14:paraId="68E502CF" w14:textId="053BDE10" w:rsidR="001669CE" w:rsidRDefault="001669CE" w:rsidP="00DA5365">
      <w:pPr>
        <w:numPr>
          <w:ilvl w:val="0"/>
          <w:numId w:val="32"/>
        </w:numPr>
        <w:spacing w:after="0" w:line="240" w:lineRule="auto"/>
        <w:ind w:left="1440" w:right="1080"/>
        <w:rPr>
          <w:color w:val="000000"/>
          <w:sz w:val="20"/>
          <w:szCs w:val="20"/>
        </w:rPr>
      </w:pPr>
      <w:r>
        <w:rPr>
          <w:color w:val="000000"/>
          <w:sz w:val="20"/>
          <w:szCs w:val="20"/>
        </w:rPr>
        <w:t xml:space="preserve">Formalized redesign to </w:t>
      </w:r>
      <w:r w:rsidR="00C518D1">
        <w:rPr>
          <w:color w:val="000000"/>
          <w:sz w:val="20"/>
          <w:szCs w:val="20"/>
        </w:rPr>
        <w:t>t</w:t>
      </w:r>
      <w:r>
        <w:rPr>
          <w:color w:val="000000"/>
          <w:sz w:val="20"/>
          <w:szCs w:val="20"/>
        </w:rPr>
        <w:t xml:space="preserve">uition </w:t>
      </w:r>
      <w:r w:rsidR="00C518D1">
        <w:rPr>
          <w:color w:val="000000"/>
          <w:sz w:val="20"/>
          <w:szCs w:val="20"/>
        </w:rPr>
        <w:t>w</w:t>
      </w:r>
      <w:r>
        <w:rPr>
          <w:color w:val="000000"/>
          <w:sz w:val="20"/>
          <w:szCs w:val="20"/>
        </w:rPr>
        <w:t>aiver assignment procedure for TAs and GAs to allow early notification of programs and students and aid in recruitment</w:t>
      </w:r>
    </w:p>
    <w:p w14:paraId="34A9A793" w14:textId="39A64BF0" w:rsidR="001669CE" w:rsidRDefault="001669CE" w:rsidP="00DA5365">
      <w:pPr>
        <w:numPr>
          <w:ilvl w:val="0"/>
          <w:numId w:val="32"/>
        </w:numPr>
        <w:spacing w:after="0" w:line="240" w:lineRule="auto"/>
        <w:ind w:left="1440" w:right="1080"/>
        <w:rPr>
          <w:color w:val="000000"/>
          <w:sz w:val="20"/>
          <w:szCs w:val="20"/>
        </w:rPr>
      </w:pPr>
      <w:r>
        <w:rPr>
          <w:color w:val="000000"/>
          <w:sz w:val="20"/>
          <w:szCs w:val="20"/>
        </w:rPr>
        <w:t xml:space="preserve">Redesigned the </w:t>
      </w:r>
      <w:r w:rsidR="00C518D1">
        <w:rPr>
          <w:color w:val="000000"/>
          <w:sz w:val="20"/>
          <w:szCs w:val="20"/>
        </w:rPr>
        <w:t>g</w:t>
      </w:r>
      <w:r>
        <w:rPr>
          <w:color w:val="000000"/>
          <w:sz w:val="20"/>
          <w:szCs w:val="20"/>
        </w:rPr>
        <w:t xml:space="preserve">raduate </w:t>
      </w:r>
      <w:r w:rsidR="00C518D1">
        <w:rPr>
          <w:color w:val="000000"/>
          <w:sz w:val="20"/>
          <w:szCs w:val="20"/>
        </w:rPr>
        <w:t>d</w:t>
      </w:r>
      <w:r>
        <w:rPr>
          <w:color w:val="000000"/>
          <w:sz w:val="20"/>
          <w:szCs w:val="20"/>
        </w:rPr>
        <w:t xml:space="preserve">egree </w:t>
      </w:r>
      <w:r w:rsidR="00C518D1">
        <w:rPr>
          <w:color w:val="000000"/>
          <w:sz w:val="20"/>
          <w:szCs w:val="20"/>
        </w:rPr>
        <w:t>p</w:t>
      </w:r>
      <w:r>
        <w:rPr>
          <w:color w:val="000000"/>
          <w:sz w:val="20"/>
          <w:szCs w:val="20"/>
        </w:rPr>
        <w:t>rograms website and materials (and converted to digital</w:t>
      </w:r>
    </w:p>
    <w:p w14:paraId="6B8E8D37" w14:textId="77777777" w:rsidR="001669CE" w:rsidRDefault="001669CE" w:rsidP="00DA5365">
      <w:pPr>
        <w:numPr>
          <w:ilvl w:val="0"/>
          <w:numId w:val="32"/>
        </w:numPr>
        <w:spacing w:after="0" w:line="240" w:lineRule="auto"/>
        <w:ind w:left="1440" w:right="1080"/>
        <w:rPr>
          <w:color w:val="000000"/>
          <w:sz w:val="20"/>
          <w:szCs w:val="20"/>
        </w:rPr>
      </w:pPr>
      <w:r>
        <w:rPr>
          <w:color w:val="000000"/>
          <w:sz w:val="20"/>
          <w:szCs w:val="20"/>
        </w:rPr>
        <w:t>Developed policies for cross-listing of undergraduate and graduate courses</w:t>
      </w:r>
    </w:p>
    <w:p w14:paraId="56CC5683" w14:textId="46F5214D" w:rsidR="001669CE" w:rsidRDefault="001669CE" w:rsidP="00DA5365">
      <w:pPr>
        <w:numPr>
          <w:ilvl w:val="0"/>
          <w:numId w:val="32"/>
        </w:numPr>
        <w:spacing w:after="0" w:line="240" w:lineRule="auto"/>
        <w:ind w:left="1440" w:right="1080"/>
        <w:rPr>
          <w:color w:val="000000"/>
          <w:sz w:val="20"/>
          <w:szCs w:val="20"/>
        </w:rPr>
      </w:pPr>
      <w:r>
        <w:rPr>
          <w:color w:val="000000"/>
          <w:sz w:val="20"/>
          <w:szCs w:val="20"/>
        </w:rPr>
        <w:t xml:space="preserve">Developed </w:t>
      </w:r>
      <w:r w:rsidR="00C518D1">
        <w:rPr>
          <w:color w:val="000000"/>
          <w:sz w:val="20"/>
          <w:szCs w:val="20"/>
        </w:rPr>
        <w:t>a</w:t>
      </w:r>
      <w:r>
        <w:rPr>
          <w:color w:val="000000"/>
          <w:sz w:val="20"/>
          <w:szCs w:val="20"/>
        </w:rPr>
        <w:t xml:space="preserve">cademic </w:t>
      </w:r>
      <w:r w:rsidR="00C518D1">
        <w:rPr>
          <w:color w:val="000000"/>
          <w:sz w:val="20"/>
          <w:szCs w:val="20"/>
        </w:rPr>
        <w:t>r</w:t>
      </w:r>
      <w:r>
        <w:rPr>
          <w:color w:val="000000"/>
          <w:sz w:val="20"/>
          <w:szCs w:val="20"/>
        </w:rPr>
        <w:t xml:space="preserve">equirement </w:t>
      </w:r>
      <w:r w:rsidR="00C518D1">
        <w:rPr>
          <w:color w:val="000000"/>
          <w:sz w:val="20"/>
          <w:szCs w:val="20"/>
        </w:rPr>
        <w:t>r</w:t>
      </w:r>
      <w:r>
        <w:rPr>
          <w:color w:val="000000"/>
          <w:sz w:val="20"/>
          <w:szCs w:val="20"/>
        </w:rPr>
        <w:t>eports in Peoplesoft/</w:t>
      </w:r>
      <w:proofErr w:type="spellStart"/>
      <w:r>
        <w:rPr>
          <w:color w:val="000000"/>
          <w:sz w:val="20"/>
          <w:szCs w:val="20"/>
        </w:rPr>
        <w:t>MySSU</w:t>
      </w:r>
      <w:proofErr w:type="spellEnd"/>
      <w:r>
        <w:rPr>
          <w:color w:val="000000"/>
          <w:sz w:val="20"/>
          <w:szCs w:val="20"/>
        </w:rPr>
        <w:t xml:space="preserve"> for all graduate programs </w:t>
      </w:r>
    </w:p>
    <w:p w14:paraId="781FD034" w14:textId="5A4B783F" w:rsidR="001669CE" w:rsidRDefault="001669CE" w:rsidP="00DA5365">
      <w:pPr>
        <w:numPr>
          <w:ilvl w:val="0"/>
          <w:numId w:val="32"/>
        </w:numPr>
        <w:spacing w:after="280" w:line="240" w:lineRule="auto"/>
        <w:ind w:left="1440" w:right="1080"/>
        <w:rPr>
          <w:color w:val="000000"/>
          <w:sz w:val="20"/>
          <w:szCs w:val="20"/>
        </w:rPr>
      </w:pPr>
      <w:r>
        <w:rPr>
          <w:color w:val="000000"/>
          <w:sz w:val="20"/>
          <w:szCs w:val="20"/>
        </w:rPr>
        <w:t>Initiated project with O</w:t>
      </w:r>
      <w:r w:rsidR="00C518D1">
        <w:rPr>
          <w:color w:val="000000"/>
          <w:sz w:val="20"/>
          <w:szCs w:val="20"/>
        </w:rPr>
        <w:t>IE</w:t>
      </w:r>
      <w:r>
        <w:rPr>
          <w:color w:val="000000"/>
          <w:sz w:val="20"/>
          <w:szCs w:val="20"/>
        </w:rPr>
        <w:t xml:space="preserve"> to develop ongoing reporting and tracking for graduate programs</w:t>
      </w:r>
    </w:p>
    <w:p w14:paraId="77835B51" w14:textId="5DCE1AAD" w:rsidR="001669CE" w:rsidRDefault="001669CE" w:rsidP="001669CE">
      <w:pPr>
        <w:spacing w:after="0" w:line="480" w:lineRule="auto"/>
        <w:ind w:firstLine="720"/>
      </w:pPr>
      <w:r>
        <w:t>While Sonoma State has made substantial progress in acknowledging the importance of graduate students, integrating them more fully into the campus community, and providing structural support for their progression to degree, there is more work to be done. The plans for continued improvement in this area include:</w:t>
      </w:r>
    </w:p>
    <w:p w14:paraId="05531928" w14:textId="3C7A8149" w:rsidR="001669CE" w:rsidRDefault="001669CE" w:rsidP="00DA5365">
      <w:pPr>
        <w:numPr>
          <w:ilvl w:val="2"/>
          <w:numId w:val="30"/>
        </w:numPr>
        <w:spacing w:after="0" w:line="240" w:lineRule="auto"/>
        <w:ind w:left="1440" w:right="1080"/>
        <w:rPr>
          <w:sz w:val="20"/>
          <w:szCs w:val="20"/>
        </w:rPr>
      </w:pPr>
      <w:r>
        <w:rPr>
          <w:sz w:val="20"/>
          <w:szCs w:val="20"/>
        </w:rPr>
        <w:t xml:space="preserve">Greater effort to highlight the Sally </w:t>
      </w:r>
      <w:proofErr w:type="spellStart"/>
      <w:r>
        <w:rPr>
          <w:sz w:val="20"/>
          <w:szCs w:val="20"/>
        </w:rPr>
        <w:t>Cassanova</w:t>
      </w:r>
      <w:proofErr w:type="spellEnd"/>
      <w:r>
        <w:rPr>
          <w:sz w:val="20"/>
          <w:szCs w:val="20"/>
        </w:rPr>
        <w:t xml:space="preserve"> </w:t>
      </w:r>
      <w:r w:rsidR="0062137D">
        <w:rPr>
          <w:sz w:val="20"/>
          <w:szCs w:val="20"/>
        </w:rPr>
        <w:t>graduate st</w:t>
      </w:r>
      <w:r>
        <w:rPr>
          <w:sz w:val="20"/>
          <w:szCs w:val="20"/>
        </w:rPr>
        <w:t xml:space="preserve">udent </w:t>
      </w:r>
      <w:r w:rsidR="0062137D">
        <w:rPr>
          <w:sz w:val="20"/>
          <w:szCs w:val="20"/>
        </w:rPr>
        <w:t>a</w:t>
      </w:r>
      <w:r>
        <w:rPr>
          <w:sz w:val="20"/>
          <w:szCs w:val="20"/>
        </w:rPr>
        <w:t>wards program</w:t>
      </w:r>
    </w:p>
    <w:p w14:paraId="5FF8C834" w14:textId="7950284D" w:rsidR="001669CE" w:rsidRDefault="001669CE" w:rsidP="00DA5365">
      <w:pPr>
        <w:numPr>
          <w:ilvl w:val="2"/>
          <w:numId w:val="30"/>
        </w:numPr>
        <w:spacing w:after="0" w:line="240" w:lineRule="auto"/>
        <w:ind w:left="1440" w:right="1080"/>
        <w:rPr>
          <w:sz w:val="20"/>
          <w:szCs w:val="20"/>
        </w:rPr>
      </w:pPr>
      <w:r>
        <w:rPr>
          <w:sz w:val="20"/>
          <w:szCs w:val="20"/>
        </w:rPr>
        <w:t xml:space="preserve">Release of the </w:t>
      </w:r>
      <w:r w:rsidR="00C518D1">
        <w:rPr>
          <w:sz w:val="20"/>
          <w:szCs w:val="20"/>
        </w:rPr>
        <w:t>g</w:t>
      </w:r>
      <w:r>
        <w:rPr>
          <w:sz w:val="20"/>
          <w:szCs w:val="20"/>
        </w:rPr>
        <w:t xml:space="preserve">raduate </w:t>
      </w:r>
      <w:proofErr w:type="gramStart"/>
      <w:r w:rsidR="00C518D1">
        <w:rPr>
          <w:sz w:val="20"/>
          <w:szCs w:val="20"/>
        </w:rPr>
        <w:t>s</w:t>
      </w:r>
      <w:r>
        <w:rPr>
          <w:sz w:val="20"/>
          <w:szCs w:val="20"/>
        </w:rPr>
        <w:t>tudies</w:t>
      </w:r>
      <w:proofErr w:type="gramEnd"/>
      <w:r>
        <w:rPr>
          <w:sz w:val="20"/>
          <w:szCs w:val="20"/>
        </w:rPr>
        <w:t xml:space="preserve"> </w:t>
      </w:r>
      <w:r w:rsidR="00C518D1">
        <w:rPr>
          <w:sz w:val="20"/>
          <w:szCs w:val="20"/>
        </w:rPr>
        <w:t>o</w:t>
      </w:r>
      <w:r>
        <w:rPr>
          <w:sz w:val="20"/>
          <w:szCs w:val="20"/>
        </w:rPr>
        <w:t xml:space="preserve">nline </w:t>
      </w:r>
      <w:r w:rsidR="00C518D1">
        <w:rPr>
          <w:sz w:val="20"/>
          <w:szCs w:val="20"/>
        </w:rPr>
        <w:t>h</w:t>
      </w:r>
      <w:r>
        <w:rPr>
          <w:sz w:val="20"/>
          <w:szCs w:val="20"/>
        </w:rPr>
        <w:t>andbook</w:t>
      </w:r>
    </w:p>
    <w:p w14:paraId="66256754" w14:textId="6AFF869E" w:rsidR="001669CE" w:rsidRDefault="001669CE" w:rsidP="00DA5365">
      <w:pPr>
        <w:numPr>
          <w:ilvl w:val="2"/>
          <w:numId w:val="30"/>
        </w:numPr>
        <w:spacing w:after="0" w:line="240" w:lineRule="auto"/>
        <w:ind w:left="1440" w:right="1080"/>
        <w:rPr>
          <w:sz w:val="20"/>
          <w:szCs w:val="20"/>
        </w:rPr>
      </w:pPr>
      <w:r>
        <w:rPr>
          <w:sz w:val="20"/>
          <w:szCs w:val="20"/>
        </w:rPr>
        <w:t xml:space="preserve">Continued program-specific work with the </w:t>
      </w:r>
      <w:r w:rsidR="00C518D1">
        <w:rPr>
          <w:sz w:val="20"/>
          <w:szCs w:val="20"/>
        </w:rPr>
        <w:t>d</w:t>
      </w:r>
      <w:r>
        <w:rPr>
          <w:sz w:val="20"/>
          <w:szCs w:val="20"/>
        </w:rPr>
        <w:t xml:space="preserve">irector of </w:t>
      </w:r>
      <w:r w:rsidR="00C518D1">
        <w:rPr>
          <w:sz w:val="20"/>
          <w:szCs w:val="20"/>
        </w:rPr>
        <w:t>g</w:t>
      </w:r>
      <w:r>
        <w:rPr>
          <w:sz w:val="20"/>
          <w:szCs w:val="20"/>
        </w:rPr>
        <w:t xml:space="preserve">raduate </w:t>
      </w:r>
      <w:r w:rsidR="00C518D1">
        <w:rPr>
          <w:sz w:val="20"/>
          <w:szCs w:val="20"/>
        </w:rPr>
        <w:t>s</w:t>
      </w:r>
      <w:r>
        <w:rPr>
          <w:sz w:val="20"/>
          <w:szCs w:val="20"/>
        </w:rPr>
        <w:t>tudies</w:t>
      </w:r>
    </w:p>
    <w:p w14:paraId="43F9E5B2" w14:textId="69D7A7CB" w:rsidR="001669CE" w:rsidRDefault="001669CE" w:rsidP="00DA5365">
      <w:pPr>
        <w:numPr>
          <w:ilvl w:val="2"/>
          <w:numId w:val="30"/>
        </w:numPr>
        <w:spacing w:after="0" w:line="240" w:lineRule="auto"/>
        <w:ind w:left="1440" w:right="1080"/>
        <w:rPr>
          <w:sz w:val="20"/>
          <w:szCs w:val="20"/>
        </w:rPr>
      </w:pPr>
      <w:r>
        <w:rPr>
          <w:sz w:val="20"/>
          <w:szCs w:val="20"/>
        </w:rPr>
        <w:t xml:space="preserve">Expansion of </w:t>
      </w:r>
      <w:r w:rsidR="00C518D1">
        <w:rPr>
          <w:sz w:val="20"/>
          <w:szCs w:val="20"/>
        </w:rPr>
        <w:t>c</w:t>
      </w:r>
      <w:r>
        <w:rPr>
          <w:sz w:val="20"/>
          <w:szCs w:val="20"/>
        </w:rPr>
        <w:t xml:space="preserve">ommunity-based </w:t>
      </w:r>
      <w:r w:rsidR="00C518D1">
        <w:rPr>
          <w:sz w:val="20"/>
          <w:szCs w:val="20"/>
        </w:rPr>
        <w:t>g</w:t>
      </w:r>
      <w:r>
        <w:rPr>
          <w:sz w:val="20"/>
          <w:szCs w:val="20"/>
        </w:rPr>
        <w:t xml:space="preserve">raduate </w:t>
      </w:r>
      <w:r w:rsidR="00C518D1">
        <w:rPr>
          <w:sz w:val="20"/>
          <w:szCs w:val="20"/>
        </w:rPr>
        <w:t>a</w:t>
      </w:r>
      <w:r>
        <w:rPr>
          <w:sz w:val="20"/>
          <w:szCs w:val="20"/>
        </w:rPr>
        <w:t>ssistantships</w:t>
      </w:r>
    </w:p>
    <w:p w14:paraId="64EDB1E2" w14:textId="0219EFB1" w:rsidR="001669CE" w:rsidRDefault="001669CE" w:rsidP="00DA5365">
      <w:pPr>
        <w:numPr>
          <w:ilvl w:val="2"/>
          <w:numId w:val="30"/>
        </w:numPr>
        <w:spacing w:after="0" w:line="240" w:lineRule="auto"/>
        <w:ind w:left="1440" w:right="900"/>
        <w:rPr>
          <w:sz w:val="20"/>
          <w:szCs w:val="20"/>
        </w:rPr>
      </w:pPr>
      <w:r>
        <w:rPr>
          <w:sz w:val="20"/>
          <w:szCs w:val="20"/>
        </w:rPr>
        <w:t xml:space="preserve">Work </w:t>
      </w:r>
      <w:r w:rsidR="00C518D1">
        <w:rPr>
          <w:sz w:val="20"/>
          <w:szCs w:val="20"/>
        </w:rPr>
        <w:t>with O</w:t>
      </w:r>
      <w:r w:rsidR="0062137D">
        <w:rPr>
          <w:sz w:val="20"/>
          <w:szCs w:val="20"/>
        </w:rPr>
        <w:t>I</w:t>
      </w:r>
      <w:r w:rsidR="00C518D1">
        <w:rPr>
          <w:sz w:val="20"/>
          <w:szCs w:val="20"/>
        </w:rPr>
        <w:t>E</w:t>
      </w:r>
      <w:r>
        <w:rPr>
          <w:sz w:val="20"/>
          <w:szCs w:val="20"/>
        </w:rPr>
        <w:t xml:space="preserve"> for data access to support graduate programs</w:t>
      </w:r>
    </w:p>
    <w:p w14:paraId="0DCE0B3D" w14:textId="18FA6F09" w:rsidR="001669CE" w:rsidRDefault="001669CE" w:rsidP="00DA5365">
      <w:pPr>
        <w:numPr>
          <w:ilvl w:val="2"/>
          <w:numId w:val="30"/>
        </w:numPr>
        <w:spacing w:after="0" w:line="240" w:lineRule="auto"/>
        <w:ind w:left="1440" w:right="1080"/>
        <w:rPr>
          <w:sz w:val="20"/>
          <w:szCs w:val="20"/>
        </w:rPr>
      </w:pPr>
      <w:r>
        <w:rPr>
          <w:sz w:val="20"/>
          <w:szCs w:val="20"/>
        </w:rPr>
        <w:t xml:space="preserve">Working to anchor </w:t>
      </w:r>
      <w:r w:rsidR="00C518D1">
        <w:rPr>
          <w:sz w:val="20"/>
          <w:szCs w:val="20"/>
        </w:rPr>
        <w:t xml:space="preserve">extended education academic </w:t>
      </w:r>
      <w:r>
        <w:rPr>
          <w:sz w:val="20"/>
          <w:szCs w:val="20"/>
        </w:rPr>
        <w:t>programs to home departments and the development of new programs</w:t>
      </w:r>
    </w:p>
    <w:p w14:paraId="3491D85C" w14:textId="77777777" w:rsidR="001669CE" w:rsidRDefault="001669CE" w:rsidP="001669CE">
      <w:pPr>
        <w:spacing w:after="0" w:line="240" w:lineRule="auto"/>
        <w:rPr>
          <w:b/>
          <w:sz w:val="24"/>
          <w:szCs w:val="24"/>
          <w:u w:val="single"/>
        </w:rPr>
      </w:pPr>
    </w:p>
    <w:p w14:paraId="5A2619E9" w14:textId="7D729691" w:rsidR="001669CE" w:rsidRDefault="001669CE" w:rsidP="0076707C">
      <w:pPr>
        <w:pStyle w:val="Heading2"/>
      </w:pPr>
      <w:r>
        <w:t>Growth in Faculty Engagement in Setting Learning Objectives and Standards</w:t>
      </w:r>
      <w:r w:rsidR="0076707C">
        <w:br/>
      </w:r>
    </w:p>
    <w:p w14:paraId="02BCED58" w14:textId="3DEA4BB1" w:rsidR="001669CE" w:rsidRDefault="001669CE" w:rsidP="001669CE">
      <w:pPr>
        <w:spacing w:line="480" w:lineRule="auto"/>
      </w:pPr>
      <w:r>
        <w:tab/>
        <w:t>SSU has seen enhanced faculty engagement in discussions on learning objectives and standards in recent years</w:t>
      </w:r>
      <w:r w:rsidR="00685C2F">
        <w:t xml:space="preserve"> (see </w:t>
      </w:r>
      <w:r w:rsidR="00685C2F" w:rsidRPr="00411167">
        <w:t>appendix 7</w:t>
      </w:r>
      <w:r w:rsidR="00685C2F">
        <w:t xml:space="preserve"> for links to information related to faculty engagement)</w:t>
      </w:r>
      <w:r>
        <w:t xml:space="preserve">. The January 2018 faculty retreat that focused on the GE program generated significant feedback and recognition of the need to reform the program with clearer goals and a defined assessment plan. In </w:t>
      </w:r>
      <w:r w:rsidR="00390AEB">
        <w:t>s</w:t>
      </w:r>
      <w:r>
        <w:t xml:space="preserve">pring 2018, the </w:t>
      </w:r>
      <w:r w:rsidR="00C518D1">
        <w:t>s</w:t>
      </w:r>
      <w:r>
        <w:t xml:space="preserve">enate approved a revision to the </w:t>
      </w:r>
      <w:r w:rsidR="00C518D1">
        <w:t>s</w:t>
      </w:r>
      <w:r>
        <w:t xml:space="preserve">yllabus </w:t>
      </w:r>
      <w:r w:rsidR="00C518D1">
        <w:t>p</w:t>
      </w:r>
      <w:r>
        <w:t xml:space="preserve">olicy, which added detail on student learning outcomes, accessibility, and GE content. In </w:t>
      </w:r>
      <w:r w:rsidR="00390AEB">
        <w:t>s</w:t>
      </w:r>
      <w:r>
        <w:t xml:space="preserve">pring 2020, the </w:t>
      </w:r>
      <w:r w:rsidR="00C518D1">
        <w:t>s</w:t>
      </w:r>
      <w:r>
        <w:t xml:space="preserve">enate created a new policy for internships, to clarify the standards to be followed, as well as faculty responsibilities around internships. Faculty have also been engaged in the roll-out of the GE assessment process, starting with participation in the </w:t>
      </w:r>
      <w:r w:rsidR="00C518D1">
        <w:t>s</w:t>
      </w:r>
      <w:r>
        <w:t xml:space="preserve">ummer </w:t>
      </w:r>
      <w:r>
        <w:lastRenderedPageBreak/>
        <w:t xml:space="preserve">2020 GE </w:t>
      </w:r>
      <w:r w:rsidR="00C518D1">
        <w:t>a</w:t>
      </w:r>
      <w:r>
        <w:t xml:space="preserve">ssessment </w:t>
      </w:r>
      <w:r w:rsidR="00C518D1">
        <w:t>p</w:t>
      </w:r>
      <w:r>
        <w:t>ilot which involved the drafting of three faculty-developed rubrics and the subsequent evaluation of signature assignments</w:t>
      </w:r>
      <w:r w:rsidRPr="003E2D06">
        <w:t xml:space="preserve"> </w:t>
      </w:r>
      <w:r>
        <w:t xml:space="preserve">for three GE learning outcomes (information literacy, quantitative reasoning, and communication). The results of this assessment will be presented to faculty governance during 2020-21 and used to create professional development workshops and revise the current rubrics and process. The campus is continuing with its assessment timeline this year, with faculty working groups developing rubrics and convening assessment teams for additional GE learning outcomes. Faculty governance is also working to finalize an assessment structure that closes the assessment loop in a meaningful way. </w:t>
      </w:r>
    </w:p>
    <w:p w14:paraId="24E9F973" w14:textId="682E92D7" w:rsidR="001669CE" w:rsidRDefault="001669CE" w:rsidP="002F29AF">
      <w:pPr>
        <w:pStyle w:val="Heading2"/>
      </w:pPr>
      <w:r>
        <w:t>Reimagined and Reinvigorated Co-Curricular Experiences and the Student Affairs Division</w:t>
      </w:r>
      <w:r w:rsidR="002F29AF">
        <w:br/>
      </w:r>
    </w:p>
    <w:p w14:paraId="3F137843" w14:textId="59C652D7" w:rsidR="001669CE" w:rsidRDefault="001669CE" w:rsidP="001669CE">
      <w:pPr>
        <w:spacing w:after="0" w:line="480" w:lineRule="auto"/>
      </w:pPr>
      <w:r>
        <w:tab/>
        <w:t xml:space="preserve">SSU’s strategic planning process and associated conversations have led to a more holistic focus on the experience of an SSU student. As a result, the university established and devoted resources toward a larger, more connected support structure for students that builds community support grounded in best practices in the field of </w:t>
      </w:r>
      <w:r w:rsidR="002F088A">
        <w:t>student affairs</w:t>
      </w:r>
      <w:r>
        <w:t xml:space="preserve">. The </w:t>
      </w:r>
      <w:r w:rsidR="00C518D1">
        <w:t>s</w:t>
      </w:r>
      <w:r>
        <w:t xml:space="preserve">tudent </w:t>
      </w:r>
      <w:r w:rsidR="00C518D1">
        <w:t>a</w:t>
      </w:r>
      <w:r>
        <w:t xml:space="preserve">ffairs division was rebuilt over the past three years to resemble a more common </w:t>
      </w:r>
      <w:r w:rsidR="00C518D1">
        <w:t>s</w:t>
      </w:r>
      <w:r>
        <w:t xml:space="preserve">tudent </w:t>
      </w:r>
      <w:r w:rsidR="00C518D1">
        <w:t>a</w:t>
      </w:r>
      <w:r>
        <w:t>ffairs division and to provide a co-curricular network that both complements and enhances students’ academic experiences</w:t>
      </w:r>
      <w:r w:rsidR="00685C2F">
        <w:t xml:space="preserve"> (see </w:t>
      </w:r>
      <w:r w:rsidR="00685C2F" w:rsidRPr="00411167">
        <w:t>appendix 7</w:t>
      </w:r>
      <w:r w:rsidR="00685C2F">
        <w:t xml:space="preserve"> for links related to the student affairs division)</w:t>
      </w:r>
      <w:r>
        <w:t>. The division’s purpose statement is:</w:t>
      </w:r>
    </w:p>
    <w:p w14:paraId="68F977C2" w14:textId="77777777" w:rsidR="001669CE" w:rsidRPr="00E65CFF" w:rsidRDefault="001669CE" w:rsidP="002F29AF">
      <w:pPr>
        <w:pStyle w:val="Quote"/>
        <w:rPr>
          <w:szCs w:val="20"/>
          <w:highlight w:val="white"/>
        </w:rPr>
      </w:pPr>
      <w:r w:rsidRPr="00E65CFF">
        <w:t>The purpose of Student Affairs at Sonoma State University is to provide services and programs that support the achievement of students' educational and personal goals and that enhance the overall student experience.</w:t>
      </w:r>
    </w:p>
    <w:p w14:paraId="45742A03" w14:textId="77777777" w:rsidR="001669CE" w:rsidRDefault="001669CE" w:rsidP="001669CE">
      <w:pPr>
        <w:spacing w:after="0" w:line="276" w:lineRule="auto"/>
        <w:rPr>
          <w:highlight w:val="white"/>
        </w:rPr>
      </w:pPr>
    </w:p>
    <w:p w14:paraId="147C9B72" w14:textId="54E6A296" w:rsidR="001669CE" w:rsidRDefault="001669CE" w:rsidP="001669CE">
      <w:pPr>
        <w:spacing w:after="0" w:line="480" w:lineRule="auto"/>
      </w:pPr>
      <w:r>
        <w:rPr>
          <w:highlight w:val="white"/>
        </w:rPr>
        <w:t>The r</w:t>
      </w:r>
      <w:r>
        <w:t xml:space="preserve">eorganization was aimed at providing synergy in accessing student services and programs for students and to place diversity, equity, and inclusion at the forefront of the organization. One significant change was a commitment to hiring professional advisors to collaborate with faculty and student affairs professionals, to promote enhanced collaboration and communication in support of effective student </w:t>
      </w:r>
      <w:r>
        <w:lastRenderedPageBreak/>
        <w:t xml:space="preserve">advising. A second major change involved the creation of a new unit called CAASE. As a part of this unification of services, the </w:t>
      </w:r>
      <w:r w:rsidR="00C518D1">
        <w:t>s</w:t>
      </w:r>
      <w:r>
        <w:t xml:space="preserve">ummer </w:t>
      </w:r>
      <w:r w:rsidR="00C518D1">
        <w:t>b</w:t>
      </w:r>
      <w:r>
        <w:t xml:space="preserve">ridge program was revitalized and expanded. Additionally, student scholarship </w:t>
      </w:r>
      <w:r w:rsidR="00212E5C">
        <w:t>programs under CAASE have grown substantially over the past three years</w:t>
      </w:r>
      <w:r>
        <w:t xml:space="preserve">. A physical representation of the efforts to provide synergy in the access and utilization of student services is evidenced by the updated first floor of the university library. The renovated floor was updated and completed in </w:t>
      </w:r>
      <w:r w:rsidR="00390AEB">
        <w:t>s</w:t>
      </w:r>
      <w:r>
        <w:t xml:space="preserve">pring 2020, featuring dynamic new furniture, work spaces that encourage collaboration, and a centralized service point for students to access academic support services including CAASE, academic advising, </w:t>
      </w:r>
      <w:r w:rsidR="0062137D">
        <w:t>DSS</w:t>
      </w:r>
      <w:r>
        <w:t>, student veteran services, and peer tutoring.</w:t>
      </w:r>
    </w:p>
    <w:p w14:paraId="1AA78F7C" w14:textId="3F59AFF8" w:rsidR="001669CE" w:rsidRDefault="001669CE" w:rsidP="001669CE">
      <w:pPr>
        <w:spacing w:after="0" w:line="480" w:lineRule="auto"/>
        <w:ind w:firstLine="720"/>
      </w:pPr>
      <w:bookmarkStart w:id="5" w:name="_ey660oijdhcq" w:colFirst="0" w:colLast="0"/>
      <w:bookmarkStart w:id="6" w:name="_vmg065xfq7p" w:colFirst="0" w:colLast="0"/>
      <w:bookmarkStart w:id="7" w:name="_30j0zll" w:colFirst="0" w:colLast="0"/>
      <w:bookmarkEnd w:id="5"/>
      <w:bookmarkEnd w:id="6"/>
      <w:bookmarkEnd w:id="7"/>
      <w:r>
        <w:t xml:space="preserve">Another significant change at SSU was the consolidation of writing and tutoring </w:t>
      </w:r>
      <w:r w:rsidR="0088756E">
        <w:t>services in a single unit called LARC</w:t>
      </w:r>
      <w:r>
        <w:t xml:space="preserve"> to provide a centralized location for all academic support services</w:t>
      </w:r>
      <w:r w:rsidR="0088756E">
        <w:t>, including the former</w:t>
      </w:r>
      <w:r w:rsidR="00C518D1">
        <w:t xml:space="preserve"> w</w:t>
      </w:r>
      <w:r w:rsidR="0088756E">
        <w:t xml:space="preserve">riting </w:t>
      </w:r>
      <w:r w:rsidR="00C518D1">
        <w:t>c</w:t>
      </w:r>
      <w:r w:rsidR="0088756E">
        <w:t>enter, campus tutoring, and supplemental instruction services</w:t>
      </w:r>
      <w:r w:rsidR="00685C2F">
        <w:t xml:space="preserve"> (see </w:t>
      </w:r>
      <w:r w:rsidR="00685C2F" w:rsidRPr="00411167">
        <w:t>appendix 7</w:t>
      </w:r>
      <w:r w:rsidR="00685C2F">
        <w:t xml:space="preserve"> for a link to the LARC website)</w:t>
      </w:r>
      <w:r>
        <w:t xml:space="preserve">. These services are a part of </w:t>
      </w:r>
      <w:r w:rsidR="00C518D1">
        <w:t>a</w:t>
      </w:r>
      <w:r>
        <w:t xml:space="preserve">cademic </w:t>
      </w:r>
      <w:r w:rsidR="00C518D1">
        <w:t>a</w:t>
      </w:r>
      <w:r>
        <w:t>ffairs and are critical co-curricular programs</w:t>
      </w:r>
      <w:r w:rsidRPr="000502C2">
        <w:t xml:space="preserve"> </w:t>
      </w:r>
      <w:r>
        <w:t xml:space="preserve">aimed at student success. </w:t>
      </w:r>
    </w:p>
    <w:p w14:paraId="2938481D" w14:textId="36E228DA" w:rsidR="001669CE" w:rsidRPr="00E818DB" w:rsidRDefault="001669CE" w:rsidP="001669CE">
      <w:pPr>
        <w:spacing w:after="0" w:line="480" w:lineRule="auto"/>
      </w:pPr>
      <w:r>
        <w:tab/>
        <w:t xml:space="preserve">Student </w:t>
      </w:r>
      <w:r w:rsidR="00C518D1">
        <w:t>a</w:t>
      </w:r>
      <w:r>
        <w:t xml:space="preserve">ffairs and other departments on campus have also implemented a variety of new or expanded </w:t>
      </w:r>
      <w:r w:rsidRPr="00E818DB">
        <w:t>programs and/or services to support the whole student. These include:</w:t>
      </w:r>
    </w:p>
    <w:p w14:paraId="6F333F9F" w14:textId="6A35057B" w:rsidR="001669CE" w:rsidRPr="00E818DB" w:rsidRDefault="001669CE" w:rsidP="00DA5365">
      <w:pPr>
        <w:numPr>
          <w:ilvl w:val="0"/>
          <w:numId w:val="31"/>
        </w:numPr>
        <w:spacing w:after="0" w:line="240" w:lineRule="auto"/>
        <w:ind w:left="1440" w:right="1080"/>
      </w:pPr>
      <w:r w:rsidRPr="00E818DB">
        <w:t xml:space="preserve">The </w:t>
      </w:r>
      <w:r w:rsidR="0062137D">
        <w:t>m</w:t>
      </w:r>
      <w:r w:rsidR="0062137D" w:rsidRPr="00E818DB">
        <w:t xml:space="preserve">ilitary </w:t>
      </w:r>
      <w:r w:rsidRPr="00E818DB">
        <w:t xml:space="preserve">and </w:t>
      </w:r>
      <w:r w:rsidR="0062137D">
        <w:t>v</w:t>
      </w:r>
      <w:r w:rsidR="0062137D" w:rsidRPr="00E818DB">
        <w:t xml:space="preserve">eteran </w:t>
      </w:r>
      <w:r w:rsidR="0062137D">
        <w:t>r</w:t>
      </w:r>
      <w:r w:rsidR="0062137D" w:rsidRPr="00E818DB">
        <w:t xml:space="preserve">esource </w:t>
      </w:r>
      <w:r w:rsidR="0062137D">
        <w:t>c</w:t>
      </w:r>
      <w:r w:rsidR="0062137D" w:rsidRPr="00E818DB">
        <w:t xml:space="preserve">enter </w:t>
      </w:r>
      <w:r w:rsidRPr="00E818DB">
        <w:t xml:space="preserve">(MAVRC) </w:t>
      </w:r>
      <w:r w:rsidRPr="00E818DB">
        <w:rPr>
          <w:highlight w:val="white"/>
        </w:rPr>
        <w:t>was created to support current and prospective military-connected students with general academic advising, community building events, and resources. This program celebrates the unique experiences of students who are veterans, connects them with campus staff and faculty who are also veterans, and celebrates their academic achievements</w:t>
      </w:r>
      <w:r w:rsidR="00685C2F">
        <w:rPr>
          <w:highlight w:val="white"/>
        </w:rPr>
        <w:t xml:space="preserve"> (see </w:t>
      </w:r>
      <w:r w:rsidR="00685C2F" w:rsidRPr="00411167">
        <w:rPr>
          <w:highlight w:val="white"/>
        </w:rPr>
        <w:t>appendix 7</w:t>
      </w:r>
      <w:r w:rsidR="00685C2F">
        <w:rPr>
          <w:highlight w:val="white"/>
        </w:rPr>
        <w:t xml:space="preserve"> for a link to the MAVRC website)</w:t>
      </w:r>
      <w:r w:rsidRPr="00E818DB">
        <w:rPr>
          <w:highlight w:val="white"/>
        </w:rPr>
        <w:t>.</w:t>
      </w:r>
    </w:p>
    <w:p w14:paraId="1C1CB4B8" w14:textId="61964C46" w:rsidR="001669CE" w:rsidRPr="00E818DB" w:rsidRDefault="001669CE" w:rsidP="00DA5365">
      <w:pPr>
        <w:numPr>
          <w:ilvl w:val="0"/>
          <w:numId w:val="31"/>
        </w:numPr>
        <w:spacing w:after="0" w:line="240" w:lineRule="auto"/>
        <w:ind w:left="1440" w:right="1080"/>
      </w:pPr>
      <w:r w:rsidRPr="00E818DB">
        <w:t xml:space="preserve">The </w:t>
      </w:r>
      <w:proofErr w:type="spellStart"/>
      <w:r w:rsidR="0062137D">
        <w:t>s</w:t>
      </w:r>
      <w:r w:rsidR="0062137D" w:rsidRPr="00E818DB">
        <w:t>eawolves</w:t>
      </w:r>
      <w:proofErr w:type="spellEnd"/>
      <w:r w:rsidR="0062137D" w:rsidRPr="00E818DB">
        <w:t xml:space="preserve"> </w:t>
      </w:r>
      <w:r w:rsidR="0062137D">
        <w:t>l</w:t>
      </w:r>
      <w:r w:rsidR="0062137D" w:rsidRPr="00E818DB">
        <w:t xml:space="preserve">ead </w:t>
      </w:r>
      <w:r w:rsidR="0062137D">
        <w:t>l</w:t>
      </w:r>
      <w:r w:rsidR="0062137D" w:rsidRPr="00E818DB">
        <w:t xml:space="preserve">eadership </w:t>
      </w:r>
      <w:r w:rsidR="0062137D">
        <w:t>p</w:t>
      </w:r>
      <w:r w:rsidR="0062137D" w:rsidRPr="00E818DB">
        <w:t xml:space="preserve">rogram </w:t>
      </w:r>
      <w:r w:rsidRPr="00E818DB">
        <w:t>was created to prepare the next generation of leaders by providing students with co-curricular and curricular opportunities to learn the knowledge and skills needed to build a better society both locally and globally</w:t>
      </w:r>
      <w:r w:rsidR="00685C2F">
        <w:t xml:space="preserve"> (see </w:t>
      </w:r>
      <w:r w:rsidR="00685C2F" w:rsidRPr="00411167">
        <w:t>appendix 7</w:t>
      </w:r>
      <w:r w:rsidR="00685C2F">
        <w:t xml:space="preserve"> for a link to the </w:t>
      </w:r>
      <w:proofErr w:type="spellStart"/>
      <w:r w:rsidR="00685C2F">
        <w:t>seawolves</w:t>
      </w:r>
      <w:proofErr w:type="spellEnd"/>
      <w:r w:rsidR="00685C2F">
        <w:t xml:space="preserve"> lead leadership program)</w:t>
      </w:r>
      <w:r w:rsidRPr="00E818DB">
        <w:t xml:space="preserve">. </w:t>
      </w:r>
    </w:p>
    <w:p w14:paraId="144DB75C" w14:textId="3F89AF69" w:rsidR="001669CE" w:rsidRPr="00E818DB" w:rsidRDefault="001669CE" w:rsidP="00DA5365">
      <w:pPr>
        <w:numPr>
          <w:ilvl w:val="0"/>
          <w:numId w:val="31"/>
        </w:numPr>
        <w:spacing w:after="0" w:line="240" w:lineRule="auto"/>
        <w:ind w:left="1440" w:right="1080"/>
      </w:pPr>
      <w:r w:rsidRPr="00E818DB">
        <w:t xml:space="preserve">The CARE team was launched in </w:t>
      </w:r>
      <w:r w:rsidR="00841753">
        <w:t>fall</w:t>
      </w:r>
      <w:r w:rsidRPr="00E818DB">
        <w:t xml:space="preserve"> 2018 to </w:t>
      </w:r>
      <w:r w:rsidRPr="00E818DB">
        <w:rPr>
          <w:highlight w:val="white"/>
        </w:rPr>
        <w:t xml:space="preserve">offer supportive intervention and guidance to students who are struggling to help restore their lives academically and personally. </w:t>
      </w:r>
      <w:r w:rsidRPr="00E818DB">
        <w:t xml:space="preserve">CARE served 72 students in 2017-18, 223 students in 2018-19, and 505 students (including 111 basic needs cases) in 2019-20. The CARE team has expanded during the pandemic to include the </w:t>
      </w:r>
      <w:r w:rsidRPr="00E818DB">
        <w:lastRenderedPageBreak/>
        <w:t>“</w:t>
      </w:r>
      <w:r w:rsidR="0062137D">
        <w:t>l</w:t>
      </w:r>
      <w:r w:rsidR="0062137D" w:rsidRPr="00E818DB">
        <w:t xml:space="preserve">obo </w:t>
      </w:r>
      <w:r w:rsidR="0062137D">
        <w:t>h</w:t>
      </w:r>
      <w:r w:rsidR="0062137D" w:rsidRPr="00E818DB">
        <w:t>ug</w:t>
      </w:r>
      <w:r w:rsidRPr="00E818DB">
        <w:t xml:space="preserve">” program providing case management and support to students in quarantine and/or isolation on campus due to COVID-19. </w:t>
      </w:r>
    </w:p>
    <w:p w14:paraId="3E97CA3C" w14:textId="41D94100" w:rsidR="001669CE" w:rsidRPr="00E818DB" w:rsidRDefault="001669CE" w:rsidP="00DA5365">
      <w:pPr>
        <w:numPr>
          <w:ilvl w:val="0"/>
          <w:numId w:val="31"/>
        </w:numPr>
        <w:spacing w:after="0" w:line="240" w:lineRule="auto"/>
        <w:ind w:left="1440" w:right="1080"/>
      </w:pPr>
      <w:r w:rsidRPr="00E818DB">
        <w:t xml:space="preserve">Lobo’s </w:t>
      </w:r>
      <w:r w:rsidR="0062137D">
        <w:t>f</w:t>
      </w:r>
      <w:r w:rsidR="0062137D" w:rsidRPr="00E818DB">
        <w:t xml:space="preserve">ood </w:t>
      </w:r>
      <w:r w:rsidR="0062137D">
        <w:t>p</w:t>
      </w:r>
      <w:r w:rsidR="0062137D" w:rsidRPr="00E818DB">
        <w:t xml:space="preserve">antry </w:t>
      </w:r>
      <w:r w:rsidRPr="00E818DB">
        <w:t xml:space="preserve">provides non-perishable food items to students experiencing food insecurity. In the 2020-2021 academic year, the food pantry expanded to provide bag pick-up and delivery to students, given the lack of food available on campus. </w:t>
      </w:r>
    </w:p>
    <w:p w14:paraId="6036227B" w14:textId="509D025F" w:rsidR="001669CE" w:rsidRPr="00E818DB" w:rsidRDefault="001669CE" w:rsidP="00DA5365">
      <w:pPr>
        <w:numPr>
          <w:ilvl w:val="0"/>
          <w:numId w:val="31"/>
        </w:numPr>
        <w:spacing w:after="0" w:line="240" w:lineRule="auto"/>
        <w:ind w:left="1440" w:right="1080"/>
      </w:pPr>
      <w:r w:rsidRPr="00E818DB">
        <w:t xml:space="preserve">Counseling and </w:t>
      </w:r>
      <w:r w:rsidR="0062137D">
        <w:t>p</w:t>
      </w:r>
      <w:r w:rsidR="0062137D" w:rsidRPr="00E818DB">
        <w:t xml:space="preserve">sychological </w:t>
      </w:r>
      <w:r w:rsidR="0062137D">
        <w:t>s</w:t>
      </w:r>
      <w:r w:rsidR="0062137D" w:rsidRPr="00E818DB">
        <w:t xml:space="preserve">ervices </w:t>
      </w:r>
      <w:r w:rsidRPr="00E818DB">
        <w:t xml:space="preserve">(CAPS) implemented a practice of allowing unlimited therapy appointments for students in response to the need for ongoing and consistent mental health care while in college. </w:t>
      </w:r>
    </w:p>
    <w:p w14:paraId="17D5BBDA" w14:textId="27B8464F" w:rsidR="001669CE" w:rsidRPr="00E818DB" w:rsidRDefault="001669CE" w:rsidP="00DA5365">
      <w:pPr>
        <w:numPr>
          <w:ilvl w:val="0"/>
          <w:numId w:val="31"/>
        </w:numPr>
        <w:spacing w:after="0" w:line="240" w:lineRule="auto"/>
        <w:ind w:left="1440" w:right="1080"/>
      </w:pPr>
      <w:r w:rsidRPr="00E818DB">
        <w:rPr>
          <w:highlight w:val="white"/>
        </w:rPr>
        <w:t xml:space="preserve">A new </w:t>
      </w:r>
      <w:r w:rsidRPr="00E818DB">
        <w:t>online orientation was developed to introduce students to programs, people, and opportunities</w:t>
      </w:r>
      <w:r w:rsidR="000C3992" w:rsidRPr="00E818DB">
        <w:t xml:space="preserve"> and</w:t>
      </w:r>
      <w:r w:rsidRPr="00E818DB">
        <w:t xml:space="preserve"> to improve the connectivity between students as they move from the admission cycle to matriculation.</w:t>
      </w:r>
    </w:p>
    <w:p w14:paraId="7D9454A3" w14:textId="641A85A2" w:rsidR="001669CE" w:rsidRPr="00E818DB" w:rsidRDefault="001669CE" w:rsidP="00DA5365">
      <w:pPr>
        <w:numPr>
          <w:ilvl w:val="0"/>
          <w:numId w:val="31"/>
        </w:numPr>
        <w:spacing w:after="0" w:line="240" w:lineRule="auto"/>
        <w:ind w:left="1440" w:right="1080"/>
      </w:pPr>
      <w:r w:rsidRPr="00E818DB">
        <w:t xml:space="preserve">Faculty in </w:t>
      </w:r>
      <w:r w:rsidR="0062137D">
        <w:t>r</w:t>
      </w:r>
      <w:r w:rsidR="0062137D" w:rsidRPr="00E818DB">
        <w:t xml:space="preserve">esidence </w:t>
      </w:r>
      <w:r w:rsidRPr="00E818DB">
        <w:t xml:space="preserve">and </w:t>
      </w:r>
      <w:r w:rsidR="0062137D">
        <w:t>f</w:t>
      </w:r>
      <w:r w:rsidR="0062137D" w:rsidRPr="00E818DB">
        <w:t xml:space="preserve">aculty </w:t>
      </w:r>
      <w:r w:rsidR="0062137D">
        <w:t>f</w:t>
      </w:r>
      <w:r w:rsidR="0062137D" w:rsidRPr="00E818DB">
        <w:t xml:space="preserve">ellows </w:t>
      </w:r>
      <w:r w:rsidRPr="00E818DB">
        <w:t xml:space="preserve">have been brought on board to support (a) the gender inclusive living learning community, (b) Visionary VIBES, and (c) </w:t>
      </w:r>
      <w:r w:rsidR="0062137D">
        <w:t>a</w:t>
      </w:r>
      <w:r w:rsidRPr="00E818DB">
        <w:t xml:space="preserve">cademic and </w:t>
      </w:r>
      <w:r w:rsidR="0062137D">
        <w:t>c</w:t>
      </w:r>
      <w:r w:rsidR="0062137D" w:rsidRPr="00E818DB">
        <w:t xml:space="preserve">areer </w:t>
      </w:r>
      <w:r w:rsidR="0062137D">
        <w:t>e</w:t>
      </w:r>
      <w:r w:rsidR="0062137D" w:rsidRPr="00E818DB">
        <w:t xml:space="preserve">xploration </w:t>
      </w:r>
      <w:r w:rsidRPr="00E818DB">
        <w:t>(ACE).</w:t>
      </w:r>
    </w:p>
    <w:p w14:paraId="3E7FE521" w14:textId="52D88171" w:rsidR="001669CE" w:rsidRPr="00E818DB" w:rsidRDefault="001669CE" w:rsidP="00DA5365">
      <w:pPr>
        <w:numPr>
          <w:ilvl w:val="0"/>
          <w:numId w:val="31"/>
        </w:numPr>
        <w:spacing w:after="0" w:line="240" w:lineRule="auto"/>
        <w:ind w:left="1440" w:right="1080"/>
      </w:pPr>
      <w:r w:rsidRPr="00E818DB">
        <w:t xml:space="preserve">The HUB </w:t>
      </w:r>
      <w:r w:rsidR="00C518D1">
        <w:t>c</w:t>
      </w:r>
      <w:r w:rsidRPr="00E818DB">
        <w:t xml:space="preserve">ultural </w:t>
      </w:r>
      <w:r w:rsidR="00C518D1">
        <w:t>c</w:t>
      </w:r>
      <w:r w:rsidRPr="00E818DB">
        <w:t>enter continues to provide a space for students to explore identity and identity development to support their persistence while at SSU.</w:t>
      </w:r>
    </w:p>
    <w:p w14:paraId="4B85FCD4" w14:textId="37B27506" w:rsidR="001669CE" w:rsidRPr="00E818DB" w:rsidRDefault="001669CE" w:rsidP="00DA5365">
      <w:pPr>
        <w:numPr>
          <w:ilvl w:val="0"/>
          <w:numId w:val="31"/>
        </w:numPr>
        <w:spacing w:after="0" w:line="240" w:lineRule="auto"/>
        <w:ind w:left="1440" w:right="1080"/>
      </w:pPr>
      <w:r w:rsidRPr="00E818DB">
        <w:t xml:space="preserve">The </w:t>
      </w:r>
      <w:r w:rsidR="0062137D">
        <w:t>m</w:t>
      </w:r>
      <w:r w:rsidR="0062137D" w:rsidRPr="00E818DB">
        <w:t>athematics</w:t>
      </w:r>
      <w:r w:rsidRPr="00E818DB">
        <w:t xml:space="preserve">, </w:t>
      </w:r>
      <w:r w:rsidR="0062137D">
        <w:t>e</w:t>
      </w:r>
      <w:r w:rsidR="0062137D" w:rsidRPr="00E818DB">
        <w:t>ngineering</w:t>
      </w:r>
      <w:r w:rsidRPr="00E818DB">
        <w:t xml:space="preserve">, </w:t>
      </w:r>
      <w:r w:rsidR="0062137D">
        <w:t>s</w:t>
      </w:r>
      <w:r w:rsidR="0062137D" w:rsidRPr="00E818DB">
        <w:t xml:space="preserve">cience </w:t>
      </w:r>
      <w:r w:rsidR="0062137D">
        <w:t>a</w:t>
      </w:r>
      <w:r w:rsidR="0062137D" w:rsidRPr="00E818DB">
        <w:t xml:space="preserve">chievement </w:t>
      </w:r>
      <w:r w:rsidRPr="00E818DB">
        <w:t>(MESA) program was expanded</w:t>
      </w:r>
      <w:r w:rsidR="00685C2F">
        <w:t xml:space="preserve"> (see </w:t>
      </w:r>
      <w:r w:rsidR="00685C2F" w:rsidRPr="00411167">
        <w:t>appendix 7</w:t>
      </w:r>
      <w:r w:rsidR="00685C2F">
        <w:t xml:space="preserve"> for a link to the MESA program information)</w:t>
      </w:r>
      <w:r w:rsidRPr="00E818DB">
        <w:t>. The program’s</w:t>
      </w:r>
      <w:r w:rsidRPr="00E818DB">
        <w:rPr>
          <w:highlight w:val="white"/>
        </w:rPr>
        <w:t> goal is to increase the number of historically underrepresented students who pursue and persist in STEM</w:t>
      </w:r>
      <w:r w:rsidR="00C518D1">
        <w:rPr>
          <w:highlight w:val="white"/>
        </w:rPr>
        <w:t>-</w:t>
      </w:r>
      <w:r w:rsidRPr="00E818DB">
        <w:rPr>
          <w:highlight w:val="white"/>
        </w:rPr>
        <w:t>related degrees. </w:t>
      </w:r>
    </w:p>
    <w:p w14:paraId="6E4122AF" w14:textId="1D926A71" w:rsidR="001669CE" w:rsidRDefault="001669CE" w:rsidP="001669CE">
      <w:pPr>
        <w:spacing w:after="0" w:line="240" w:lineRule="auto"/>
        <w:ind w:left="720"/>
      </w:pPr>
    </w:p>
    <w:p w14:paraId="150A2B33" w14:textId="493207E5" w:rsidR="00545BE7" w:rsidRDefault="00545BE7" w:rsidP="00064D2C">
      <w:pPr>
        <w:spacing w:after="0" w:line="240" w:lineRule="auto"/>
        <w:rPr>
          <w:rFonts w:ascii="Calibri" w:hAnsi="Calibri" w:cs="Calibri"/>
          <w:color w:val="000000"/>
        </w:rPr>
      </w:pPr>
      <w:r>
        <w:rPr>
          <w:rFonts w:ascii="Calibri" w:hAnsi="Calibri" w:cs="Calibri"/>
          <w:color w:val="000000"/>
        </w:rPr>
        <w:t xml:space="preserve">The goals of these programs can be found in </w:t>
      </w:r>
      <w:r w:rsidR="0062137D">
        <w:rPr>
          <w:rFonts w:ascii="Calibri" w:hAnsi="Calibri" w:cs="Calibri"/>
          <w:color w:val="000000"/>
        </w:rPr>
        <w:t>a</w:t>
      </w:r>
      <w:r w:rsidR="00DB2390">
        <w:rPr>
          <w:rFonts w:ascii="Calibri" w:hAnsi="Calibri" w:cs="Calibri"/>
          <w:color w:val="000000"/>
        </w:rPr>
        <w:t>ppendix</w:t>
      </w:r>
      <w:r w:rsidRPr="00064D2C">
        <w:rPr>
          <w:rFonts w:ascii="Calibri" w:hAnsi="Calibri" w:cs="Calibri"/>
          <w:color w:val="000000"/>
        </w:rPr>
        <w:t xml:space="preserve"> 7</w:t>
      </w:r>
      <w:r>
        <w:rPr>
          <w:rFonts w:ascii="Calibri" w:hAnsi="Calibri" w:cs="Calibri"/>
          <w:color w:val="000000"/>
        </w:rPr>
        <w:t>.</w:t>
      </w:r>
    </w:p>
    <w:p w14:paraId="636F1ACF" w14:textId="77777777" w:rsidR="00545BE7" w:rsidRPr="00E818DB" w:rsidRDefault="00545BE7" w:rsidP="001669CE">
      <w:pPr>
        <w:spacing w:after="0" w:line="240" w:lineRule="auto"/>
        <w:ind w:left="720"/>
      </w:pPr>
    </w:p>
    <w:p w14:paraId="53DC9353" w14:textId="7C6B598C" w:rsidR="001669CE" w:rsidRDefault="001669CE" w:rsidP="001669CE">
      <w:pPr>
        <w:spacing w:after="0" w:line="480" w:lineRule="auto"/>
        <w:ind w:firstLine="720"/>
      </w:pPr>
      <w:r w:rsidRPr="00E818DB">
        <w:t xml:space="preserve">With all of these developments, </w:t>
      </w:r>
      <w:r w:rsidR="00C518D1">
        <w:t>s</w:t>
      </w:r>
      <w:r w:rsidRPr="00E818DB">
        <w:t xml:space="preserve">tudent </w:t>
      </w:r>
      <w:r w:rsidR="00C518D1">
        <w:t>a</w:t>
      </w:r>
      <w:r w:rsidRPr="00E818DB">
        <w:t>ffairs</w:t>
      </w:r>
      <w:r w:rsidRPr="007A2A9B">
        <w:t xml:space="preserve"> </w:t>
      </w:r>
      <w:proofErr w:type="gramStart"/>
      <w:r w:rsidRPr="007A2A9B">
        <w:t>has</w:t>
      </w:r>
      <w:proofErr w:type="gramEnd"/>
      <w:r w:rsidRPr="007A2A9B">
        <w:t xml:space="preserve"> expanded its capacity to assess program outcomes.</w:t>
      </w:r>
      <w:r>
        <w:t xml:space="preserve"> </w:t>
      </w:r>
      <w:r w:rsidRPr="007A2A9B">
        <w:t xml:space="preserve">In </w:t>
      </w:r>
      <w:r w:rsidR="00C518D1">
        <w:t>s</w:t>
      </w:r>
      <w:r w:rsidRPr="007A2A9B">
        <w:t xml:space="preserve">ummer 2019, the </w:t>
      </w:r>
      <w:r w:rsidR="00C518D1">
        <w:t>d</w:t>
      </w:r>
      <w:r w:rsidRPr="007A2A9B">
        <w:t xml:space="preserve">ivision brought in a new </w:t>
      </w:r>
      <w:r w:rsidR="00C518D1">
        <w:t>a</w:t>
      </w:r>
      <w:r w:rsidRPr="007A2A9B">
        <w:t xml:space="preserve">ssistant </w:t>
      </w:r>
      <w:r w:rsidR="00C518D1">
        <w:t>v</w:t>
      </w:r>
      <w:r w:rsidRPr="007A2A9B">
        <w:t xml:space="preserve">ice </w:t>
      </w:r>
      <w:r w:rsidR="00C518D1">
        <w:t>p</w:t>
      </w:r>
      <w:r w:rsidRPr="007A2A9B">
        <w:t xml:space="preserve">resident for </w:t>
      </w:r>
      <w:r w:rsidR="00C518D1">
        <w:t>a</w:t>
      </w:r>
      <w:r w:rsidRPr="007A2A9B">
        <w:t xml:space="preserve">ssessment and </w:t>
      </w:r>
      <w:r w:rsidR="00C518D1">
        <w:t>s</w:t>
      </w:r>
      <w:r w:rsidRPr="007A2A9B">
        <w:t xml:space="preserve">trategic </w:t>
      </w:r>
      <w:r w:rsidR="00C518D1">
        <w:t>o</w:t>
      </w:r>
      <w:r w:rsidRPr="007A2A9B">
        <w:t xml:space="preserve">perations to ensure the continued development and structural integrity of the </w:t>
      </w:r>
      <w:r w:rsidR="00C518D1">
        <w:t>d</w:t>
      </w:r>
      <w:r w:rsidRPr="007A2A9B">
        <w:t>ivision as an important partner</w:t>
      </w:r>
      <w:r>
        <w:t xml:space="preserve"> in the Sonoma State student experience. The AVP created a division-wide research and assessment committee with representatives from across the </w:t>
      </w:r>
      <w:r w:rsidR="00C518D1">
        <w:t>d</w:t>
      </w:r>
      <w:r>
        <w:t xml:space="preserve">ivision. All committee members completed an online course in </w:t>
      </w:r>
      <w:r w:rsidR="00390AEB">
        <w:t>s</w:t>
      </w:r>
      <w:r>
        <w:t xml:space="preserve">pring 2020 on leading assessment in </w:t>
      </w:r>
      <w:r w:rsidR="00C518D1">
        <w:t>s</w:t>
      </w:r>
      <w:r>
        <w:t xml:space="preserve">tudent </w:t>
      </w:r>
      <w:r w:rsidR="00C518D1">
        <w:t>a</w:t>
      </w:r>
      <w:r>
        <w:t xml:space="preserve">ffairs. To date, the division has identified its primary domains and is in the process of articulating student co-curricular learning outcomes and pathways toward achieving those outcomes. Additionally, the division has developed a </w:t>
      </w:r>
      <w:r w:rsidR="00C518D1">
        <w:t>c</w:t>
      </w:r>
      <w:r>
        <w:t xml:space="preserve">omprehensive </w:t>
      </w:r>
      <w:r w:rsidR="00C518D1">
        <w:t>p</w:t>
      </w:r>
      <w:r>
        <w:t xml:space="preserve">rogram </w:t>
      </w:r>
      <w:r w:rsidR="00C518D1">
        <w:t>r</w:t>
      </w:r>
      <w:r>
        <w:t xml:space="preserve">eview framework and will conduct training and implementation in </w:t>
      </w:r>
      <w:r w:rsidR="00390AEB">
        <w:t>s</w:t>
      </w:r>
      <w:r>
        <w:t xml:space="preserve">pring 2021 to ensure that programs are achieving their intended outcomes and to identify areas for improvement. As a result of this work and the advancement of best practices, the SSU’s </w:t>
      </w:r>
      <w:r w:rsidR="00C518D1">
        <w:t>s</w:t>
      </w:r>
      <w:r>
        <w:t xml:space="preserve">tudent </w:t>
      </w:r>
      <w:r w:rsidR="00C518D1">
        <w:t>a</w:t>
      </w:r>
      <w:r>
        <w:t xml:space="preserve">ffairs division has </w:t>
      </w:r>
      <w:r>
        <w:lastRenderedPageBreak/>
        <w:t xml:space="preserve">been recognized for two years in a row by </w:t>
      </w:r>
      <w:r w:rsidRPr="008639E5">
        <w:rPr>
          <w:i/>
        </w:rPr>
        <w:t>Diverse: Issues in Higher Education Magazine</w:t>
      </w:r>
      <w:r>
        <w:t xml:space="preserve"> and A</w:t>
      </w:r>
      <w:r w:rsidR="00C518D1">
        <w:t xml:space="preserve">merican </w:t>
      </w:r>
      <w:r>
        <w:t>C</w:t>
      </w:r>
      <w:r w:rsidR="00C518D1">
        <w:t xml:space="preserve">ollege </w:t>
      </w:r>
      <w:r>
        <w:t>P</w:t>
      </w:r>
      <w:r w:rsidR="00C518D1">
        <w:t xml:space="preserve">ersonnel </w:t>
      </w:r>
      <w:r>
        <w:t>A</w:t>
      </w:r>
      <w:r w:rsidR="00C518D1">
        <w:t>ssociation</w:t>
      </w:r>
      <w:r>
        <w:t xml:space="preserve"> as one of the “Most Promising Places to Work in Student Affairs.” </w:t>
      </w:r>
    </w:p>
    <w:p w14:paraId="500CCBD1" w14:textId="5DC435F1" w:rsidR="001669CE" w:rsidRDefault="001669CE" w:rsidP="002F29AF">
      <w:pPr>
        <w:pStyle w:val="Heading2"/>
      </w:pPr>
      <w:r>
        <w:t xml:space="preserve">A Community Learning Framework </w:t>
      </w:r>
      <w:r w:rsidR="002F29AF">
        <w:br/>
      </w:r>
    </w:p>
    <w:p w14:paraId="15F3E3A6" w14:textId="414D2001" w:rsidR="001669CE" w:rsidRDefault="001669CE" w:rsidP="001669CE">
      <w:pPr>
        <w:spacing w:line="480" w:lineRule="auto"/>
      </w:pPr>
      <w:r>
        <w:tab/>
        <w:t xml:space="preserve">A recently drafted </w:t>
      </w:r>
      <w:r w:rsidR="0062137D">
        <w:t xml:space="preserve">community learning framework </w:t>
      </w:r>
      <w:r>
        <w:t>(</w:t>
      </w:r>
      <w:r w:rsidR="006F0444">
        <w:t xml:space="preserve">CLF) </w:t>
      </w:r>
      <w:r>
        <w:t xml:space="preserve">from </w:t>
      </w:r>
      <w:r w:rsidR="00390AEB">
        <w:t>s</w:t>
      </w:r>
      <w:r>
        <w:t xml:space="preserve">pring 2020 grew out of the initial plan to create institutional learning objectives (ILOs). It was recognized that the new, skills-based GE learning objectives were actually the learning outcomes that every </w:t>
      </w:r>
      <w:r w:rsidR="006F0444">
        <w:t>undergraduate student</w:t>
      </w:r>
      <w:r>
        <w:t xml:space="preserve"> should acquire (i.e., akin </w:t>
      </w:r>
      <w:r w:rsidR="0062137D">
        <w:t>to ILOs</w:t>
      </w:r>
      <w:r>
        <w:t xml:space="preserve">) and that the campus would benefit from an overarching framework related to how </w:t>
      </w:r>
      <w:r w:rsidR="00870395">
        <w:t xml:space="preserve">the </w:t>
      </w:r>
      <w:r>
        <w:t xml:space="preserve">institution/community continues to learn together and evolve. Thus, a </w:t>
      </w:r>
      <w:r w:rsidR="006F0444">
        <w:t>CLF</w:t>
      </w:r>
      <w:r>
        <w:t xml:space="preserve"> was drafted to represent the four practices that form the foundation for </w:t>
      </w:r>
      <w:r w:rsidR="00C95D93">
        <w:t>all the campus</w:t>
      </w:r>
      <w:r>
        <w:t xml:space="preserve"> do</w:t>
      </w:r>
      <w:r w:rsidR="00C95D93">
        <w:t>es</w:t>
      </w:r>
      <w:r>
        <w:t xml:space="preserve">. The complete draft is available in </w:t>
      </w:r>
      <w:r w:rsidR="00DB2390" w:rsidRPr="00411167">
        <w:t>ap</w:t>
      </w:r>
      <w:bookmarkStart w:id="8" w:name="_GoBack"/>
      <w:bookmarkEnd w:id="8"/>
      <w:r w:rsidR="00DB2390" w:rsidRPr="00411167">
        <w:t>pendix</w:t>
      </w:r>
      <w:r w:rsidRPr="00411167">
        <w:t xml:space="preserve"> 7</w:t>
      </w:r>
      <w:r>
        <w:t>, but the four practices are highlighted here:</w:t>
      </w:r>
    </w:p>
    <w:tbl>
      <w:tblPr>
        <w:tblW w:w="7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Community Learning Framework Foundational Four Practices "/>
        <w:tblDescription w:val="A table showing the four Community Learning Framework practices and a description of each practice. "/>
      </w:tblPr>
      <w:tblGrid>
        <w:gridCol w:w="2070"/>
        <w:gridCol w:w="5040"/>
      </w:tblGrid>
      <w:tr w:rsidR="001669CE" w14:paraId="49942E2A" w14:textId="77777777" w:rsidTr="001669CE">
        <w:tc>
          <w:tcPr>
            <w:tcW w:w="2070" w:type="dxa"/>
          </w:tcPr>
          <w:p w14:paraId="48711F29" w14:textId="77777777" w:rsidR="001669CE" w:rsidRDefault="001669CE" w:rsidP="001669CE">
            <w:pPr>
              <w:rPr>
                <w:b/>
                <w:sz w:val="20"/>
                <w:szCs w:val="20"/>
              </w:rPr>
            </w:pPr>
            <w:r>
              <w:rPr>
                <w:b/>
                <w:sz w:val="20"/>
                <w:szCs w:val="20"/>
              </w:rPr>
              <w:t>Practice</w:t>
            </w:r>
          </w:p>
        </w:tc>
        <w:tc>
          <w:tcPr>
            <w:tcW w:w="5040" w:type="dxa"/>
          </w:tcPr>
          <w:p w14:paraId="36C54927" w14:textId="77777777" w:rsidR="001669CE" w:rsidRDefault="001669CE" w:rsidP="001669CE">
            <w:pPr>
              <w:rPr>
                <w:b/>
                <w:sz w:val="20"/>
                <w:szCs w:val="20"/>
              </w:rPr>
            </w:pPr>
            <w:r>
              <w:rPr>
                <w:b/>
                <w:sz w:val="20"/>
                <w:szCs w:val="20"/>
              </w:rPr>
              <w:t>Description</w:t>
            </w:r>
          </w:p>
        </w:tc>
      </w:tr>
      <w:tr w:rsidR="001669CE" w14:paraId="7A84E6B6" w14:textId="77777777" w:rsidTr="001669CE">
        <w:tc>
          <w:tcPr>
            <w:tcW w:w="2070" w:type="dxa"/>
            <w:vAlign w:val="center"/>
          </w:tcPr>
          <w:p w14:paraId="54BBE8A8" w14:textId="77777777" w:rsidR="001669CE" w:rsidRDefault="001669CE" w:rsidP="001669CE">
            <w:pPr>
              <w:rPr>
                <w:sz w:val="20"/>
                <w:szCs w:val="20"/>
              </w:rPr>
            </w:pPr>
            <w:r>
              <w:rPr>
                <w:sz w:val="20"/>
                <w:szCs w:val="20"/>
              </w:rPr>
              <w:t>Academic Excellence</w:t>
            </w:r>
          </w:p>
        </w:tc>
        <w:tc>
          <w:tcPr>
            <w:tcW w:w="5040" w:type="dxa"/>
          </w:tcPr>
          <w:p w14:paraId="47D96859" w14:textId="77777777" w:rsidR="001669CE" w:rsidRDefault="001669CE" w:rsidP="00C525CC">
            <w:pPr>
              <w:spacing w:after="0"/>
              <w:rPr>
                <w:sz w:val="20"/>
                <w:szCs w:val="20"/>
              </w:rPr>
            </w:pPr>
            <w:r>
              <w:rPr>
                <w:color w:val="000000"/>
                <w:sz w:val="20"/>
                <w:szCs w:val="20"/>
              </w:rPr>
              <w:t>Our community members gain and use specialized knowledge in developing and expanding expertise in one or more fields. They value, learn from, and draw on broad, integrative knowledge from the natural, physical, and social sciences, from the humanities, and from the arts.</w:t>
            </w:r>
          </w:p>
        </w:tc>
      </w:tr>
      <w:tr w:rsidR="001669CE" w14:paraId="387A5516" w14:textId="77777777" w:rsidTr="001669CE">
        <w:tc>
          <w:tcPr>
            <w:tcW w:w="2070" w:type="dxa"/>
            <w:vAlign w:val="center"/>
          </w:tcPr>
          <w:p w14:paraId="5793BFCA" w14:textId="77777777" w:rsidR="001669CE" w:rsidRDefault="001669CE" w:rsidP="001669CE">
            <w:pPr>
              <w:rPr>
                <w:sz w:val="20"/>
                <w:szCs w:val="20"/>
              </w:rPr>
            </w:pPr>
            <w:r>
              <w:rPr>
                <w:sz w:val="20"/>
                <w:szCs w:val="20"/>
              </w:rPr>
              <w:t>Global, Social, and Civic Responsibility</w:t>
            </w:r>
          </w:p>
        </w:tc>
        <w:tc>
          <w:tcPr>
            <w:tcW w:w="5040" w:type="dxa"/>
          </w:tcPr>
          <w:p w14:paraId="5A3182F8" w14:textId="77777777" w:rsidR="001669CE" w:rsidRDefault="001669CE" w:rsidP="00C525CC">
            <w:pPr>
              <w:spacing w:after="0"/>
              <w:rPr>
                <w:sz w:val="20"/>
                <w:szCs w:val="20"/>
              </w:rPr>
            </w:pPr>
            <w:r>
              <w:rPr>
                <w:color w:val="000000"/>
                <w:sz w:val="20"/>
                <w:szCs w:val="20"/>
              </w:rPr>
              <w:t>Our community members learn and actively engage the knowledge and skills to be global citizens and advance leadership capacity to bring innovative solutions to the challenges of the 21st century.</w:t>
            </w:r>
          </w:p>
        </w:tc>
      </w:tr>
      <w:tr w:rsidR="001669CE" w14:paraId="2C0CF7ED" w14:textId="77777777" w:rsidTr="001669CE">
        <w:tc>
          <w:tcPr>
            <w:tcW w:w="2070" w:type="dxa"/>
            <w:vAlign w:val="center"/>
          </w:tcPr>
          <w:p w14:paraId="481F0389" w14:textId="77777777" w:rsidR="001669CE" w:rsidRDefault="001669CE" w:rsidP="001669CE">
            <w:pPr>
              <w:rPr>
                <w:sz w:val="20"/>
                <w:szCs w:val="20"/>
              </w:rPr>
            </w:pPr>
            <w:r>
              <w:rPr>
                <w:sz w:val="20"/>
                <w:szCs w:val="20"/>
              </w:rPr>
              <w:t>Integrative and Applied Learning</w:t>
            </w:r>
          </w:p>
        </w:tc>
        <w:tc>
          <w:tcPr>
            <w:tcW w:w="5040" w:type="dxa"/>
          </w:tcPr>
          <w:p w14:paraId="68D770BD" w14:textId="77777777" w:rsidR="001669CE" w:rsidRDefault="001669CE" w:rsidP="00C525CC">
            <w:pPr>
              <w:spacing w:after="0"/>
              <w:rPr>
                <w:sz w:val="20"/>
                <w:szCs w:val="20"/>
              </w:rPr>
            </w:pPr>
            <w:r>
              <w:rPr>
                <w:color w:val="000000"/>
                <w:sz w:val="20"/>
                <w:szCs w:val="20"/>
              </w:rPr>
              <w:t>Our community creatively integrates and applies learning from general education, specialized fields, and the real world.</w:t>
            </w:r>
          </w:p>
        </w:tc>
      </w:tr>
      <w:tr w:rsidR="001669CE" w14:paraId="334C3450" w14:textId="77777777" w:rsidTr="001669CE">
        <w:tc>
          <w:tcPr>
            <w:tcW w:w="2070" w:type="dxa"/>
            <w:vAlign w:val="center"/>
          </w:tcPr>
          <w:p w14:paraId="088FFCD8" w14:textId="77777777" w:rsidR="001669CE" w:rsidRDefault="001669CE" w:rsidP="001669CE">
            <w:pPr>
              <w:rPr>
                <w:sz w:val="20"/>
                <w:szCs w:val="20"/>
              </w:rPr>
            </w:pPr>
            <w:r>
              <w:rPr>
                <w:sz w:val="20"/>
                <w:szCs w:val="20"/>
              </w:rPr>
              <w:t>Holistic Success and Well-being</w:t>
            </w:r>
          </w:p>
        </w:tc>
        <w:tc>
          <w:tcPr>
            <w:tcW w:w="5040" w:type="dxa"/>
          </w:tcPr>
          <w:p w14:paraId="16E3915C" w14:textId="77777777" w:rsidR="001669CE" w:rsidRDefault="001669CE" w:rsidP="00C525CC">
            <w:pPr>
              <w:spacing w:after="0"/>
              <w:rPr>
                <w:sz w:val="20"/>
                <w:szCs w:val="20"/>
              </w:rPr>
            </w:pPr>
            <w:r>
              <w:rPr>
                <w:color w:val="000000"/>
                <w:sz w:val="20"/>
                <w:szCs w:val="20"/>
              </w:rPr>
              <w:t>Our community fosters personal, professional, and social development to build resilience and support the flourishing of self and others in an inclusive environment.</w:t>
            </w:r>
          </w:p>
        </w:tc>
      </w:tr>
    </w:tbl>
    <w:p w14:paraId="0D7FBC41" w14:textId="77777777" w:rsidR="001669CE" w:rsidRDefault="001669CE" w:rsidP="001669CE">
      <w:pPr>
        <w:spacing w:line="240" w:lineRule="auto"/>
      </w:pPr>
    </w:p>
    <w:p w14:paraId="7865BF42" w14:textId="46DBF30C" w:rsidR="001669CE" w:rsidRDefault="0027227A" w:rsidP="001669CE">
      <w:pPr>
        <w:spacing w:line="480" w:lineRule="auto"/>
      </w:pPr>
      <w:r>
        <w:t xml:space="preserve">Once approved by the campus, </w:t>
      </w:r>
      <w:r w:rsidR="001669CE">
        <w:t xml:space="preserve">the </w:t>
      </w:r>
      <w:r w:rsidR="006F0444">
        <w:t>CLF</w:t>
      </w:r>
      <w:r w:rsidR="001669CE">
        <w:t xml:space="preserve"> </w:t>
      </w:r>
      <w:r>
        <w:t xml:space="preserve">will be used </w:t>
      </w:r>
      <w:r w:rsidR="001669CE">
        <w:t xml:space="preserve">to strengthen the connection between </w:t>
      </w:r>
      <w:r w:rsidR="006F0444">
        <w:t>a</w:t>
      </w:r>
      <w:r w:rsidR="001669CE">
        <w:t xml:space="preserve">cademic and </w:t>
      </w:r>
      <w:r w:rsidR="006F0444">
        <w:t>s</w:t>
      </w:r>
      <w:r w:rsidR="001669CE">
        <w:t xml:space="preserve">tudent </w:t>
      </w:r>
      <w:r w:rsidR="006F0444">
        <w:t>a</w:t>
      </w:r>
      <w:r w:rsidR="001669CE">
        <w:t>ffairs and the community at large to support student success.</w:t>
      </w:r>
      <w:r w:rsidR="00A1025D">
        <w:t xml:space="preserve"> </w:t>
      </w:r>
    </w:p>
    <w:p w14:paraId="72674946" w14:textId="4B5657B6" w:rsidR="001669CE" w:rsidRDefault="001669CE" w:rsidP="002F29AF">
      <w:pPr>
        <w:pStyle w:val="Heading2"/>
      </w:pPr>
      <w:r>
        <w:lastRenderedPageBreak/>
        <w:t>Commitment to Demonstrating Achievement of Standards for Student Learning and Success</w:t>
      </w:r>
      <w:r w:rsidR="002F29AF">
        <w:br/>
      </w:r>
    </w:p>
    <w:p w14:paraId="7F72FDD5" w14:textId="0E15CE91" w:rsidR="001669CE" w:rsidRDefault="001669CE" w:rsidP="001669CE">
      <w:pPr>
        <w:spacing w:after="0" w:line="480" w:lineRule="auto"/>
      </w:pPr>
      <w:r>
        <w:tab/>
        <w:t xml:space="preserve">As described in the </w:t>
      </w:r>
      <w:r w:rsidR="006F0444">
        <w:t>r</w:t>
      </w:r>
      <w:r>
        <w:t xml:space="preserve">esponse to </w:t>
      </w:r>
      <w:r w:rsidR="006F0444">
        <w:t>r</w:t>
      </w:r>
      <w:r>
        <w:t xml:space="preserve">ecommendation 4 on data tools, SSU is committed to measuring progress on the goals, standards, and objectives that have been set. Demonstrating the degree to which students are learning and persisting is critical to the university’s ongoing viability. This applies to institutional level analyses, such as those done for the </w:t>
      </w:r>
      <w:r w:rsidR="0062137D">
        <w:t>GI</w:t>
      </w:r>
      <w:r>
        <w:t xml:space="preserve">2025, as well as programmatic level analyses, like those done to measure the impact of the </w:t>
      </w:r>
      <w:r w:rsidR="0062137D">
        <w:t>first</w:t>
      </w:r>
      <w:r>
        <w:t xml:space="preserve">-year </w:t>
      </w:r>
      <w:r w:rsidR="0062137D">
        <w:t>l</w:t>
      </w:r>
      <w:r>
        <w:t xml:space="preserve">earning </w:t>
      </w:r>
      <w:r w:rsidR="0062137D">
        <w:t xml:space="preserve">communities </w:t>
      </w:r>
      <w:r>
        <w:t xml:space="preserve">(FLC) program. This ongoing assessment culture will help the campus determine the extent to which SSU students are earning meaningful degrees grounded in the liberal arts and reinforced by experiential learning, interdisciplinary connections, and outward engagement, in a community committed to helping them succeed. </w:t>
      </w:r>
    </w:p>
    <w:bookmarkEnd w:id="0"/>
    <w:bookmarkEnd w:id="1"/>
    <w:p w14:paraId="61A9454A" w14:textId="70B059EC" w:rsidR="00D73797" w:rsidRDefault="00D73797" w:rsidP="00797948">
      <w:pPr>
        <w:spacing w:line="480" w:lineRule="auto"/>
        <w:rPr>
          <w:b/>
          <w:sz w:val="28"/>
          <w:szCs w:val="28"/>
        </w:rPr>
      </w:pPr>
    </w:p>
    <w:sectPr w:rsidR="00D73797" w:rsidSect="00931F6C">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7DB41" w14:textId="77777777" w:rsidR="009C2BE7" w:rsidRDefault="009C2BE7" w:rsidP="004A1AF2">
      <w:pPr>
        <w:spacing w:after="0" w:line="240" w:lineRule="auto"/>
      </w:pPr>
      <w:r>
        <w:separator/>
      </w:r>
    </w:p>
  </w:endnote>
  <w:endnote w:type="continuationSeparator" w:id="0">
    <w:p w14:paraId="29DEEAE2" w14:textId="77777777" w:rsidR="009C2BE7" w:rsidRDefault="009C2BE7" w:rsidP="004A1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Devanagari">
    <w:altName w:val="Athelas"/>
    <w:panose1 w:val="02040503050201020203"/>
    <w:charset w:val="00"/>
    <w:family w:val="roman"/>
    <w:notTrueType/>
    <w:pitch w:val="variable"/>
    <w:sig w:usb0="00008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1881275"/>
      <w:docPartObj>
        <w:docPartGallery w:val="Page Numbers (Bottom of Page)"/>
        <w:docPartUnique/>
      </w:docPartObj>
    </w:sdtPr>
    <w:sdtContent>
      <w:p w14:paraId="4F4112F2" w14:textId="14048764" w:rsidR="004F2E57" w:rsidRDefault="004F2E57" w:rsidP="004A1A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86</w:t>
        </w:r>
        <w:r>
          <w:rPr>
            <w:rStyle w:val="PageNumber"/>
          </w:rPr>
          <w:fldChar w:fldCharType="end"/>
        </w:r>
      </w:p>
    </w:sdtContent>
  </w:sdt>
  <w:p w14:paraId="6E31A374" w14:textId="77777777" w:rsidR="004F2E57" w:rsidRDefault="004F2E57" w:rsidP="004A1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66619573"/>
      <w:docPartObj>
        <w:docPartGallery w:val="Page Numbers (Bottom of Page)"/>
        <w:docPartUnique/>
      </w:docPartObj>
    </w:sdtPr>
    <w:sdtContent>
      <w:p w14:paraId="79083B69" w14:textId="75922943" w:rsidR="004F2E57" w:rsidRDefault="004F2E57" w:rsidP="00931F6C">
        <w:pPr>
          <w:pStyle w:val="Footer"/>
          <w:framePr w:wrap="none" w:vAnchor="text" w:hAnchor="margin" w:xAlign="right" w:y="1"/>
          <w:ind w:right="-160"/>
          <w:rPr>
            <w:rStyle w:val="PageNumber"/>
          </w:rPr>
        </w:pPr>
        <w:r w:rsidRPr="00334BE9">
          <w:rPr>
            <w:rStyle w:val="PageNumber"/>
            <w:b/>
          </w:rPr>
          <w:fldChar w:fldCharType="begin"/>
        </w:r>
        <w:r w:rsidRPr="00334BE9">
          <w:rPr>
            <w:rStyle w:val="PageNumber"/>
            <w:b/>
          </w:rPr>
          <w:instrText xml:space="preserve"> PAGE </w:instrText>
        </w:r>
        <w:r w:rsidRPr="00334BE9">
          <w:rPr>
            <w:rStyle w:val="PageNumber"/>
            <w:b/>
          </w:rPr>
          <w:fldChar w:fldCharType="separate"/>
        </w:r>
        <w:r>
          <w:rPr>
            <w:rStyle w:val="PageNumber"/>
            <w:b/>
            <w:noProof/>
          </w:rPr>
          <w:t>51</w:t>
        </w:r>
        <w:r w:rsidRPr="00334BE9">
          <w:rPr>
            <w:rStyle w:val="PageNumber"/>
            <w:b/>
          </w:rPr>
          <w:fldChar w:fldCharType="end"/>
        </w:r>
      </w:p>
    </w:sdtContent>
  </w:sdt>
  <w:p w14:paraId="2CA12A2A" w14:textId="3883ABA1" w:rsidR="004F2E57" w:rsidRDefault="004F2E57" w:rsidP="004A1AF2">
    <w:pPr>
      <w:pStyle w:val="Footer"/>
      <w:ind w:right="360"/>
      <w:jc w:val="right"/>
    </w:pPr>
    <w:r w:rsidRPr="00931F6C">
      <w:rPr>
        <w:color w:val="767171" w:themeColor="background2" w:themeShade="80"/>
      </w:rPr>
      <w:t>SONOMA STATE UNIVERSITY</w:t>
    </w:r>
    <w:r>
      <w:rPr>
        <w:color w:val="767171" w:themeColor="background2" w:themeShade="80"/>
      </w:rPr>
      <w:t xml:space="preserve">, WSCUC Follow-up Report </w:t>
    </w:r>
    <w:r w:rsidRPr="00931F6C">
      <w:rPr>
        <w:b/>
      </w:rPr>
      <w:t>|</w:t>
    </w:r>
  </w:p>
  <w:p w14:paraId="3E16C144" w14:textId="77777777" w:rsidR="004F2E57" w:rsidRDefault="004F2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FDBA22" w14:textId="77777777" w:rsidR="009C2BE7" w:rsidRDefault="009C2BE7" w:rsidP="004A1AF2">
      <w:pPr>
        <w:spacing w:after="0" w:line="240" w:lineRule="auto"/>
      </w:pPr>
      <w:r>
        <w:separator/>
      </w:r>
    </w:p>
  </w:footnote>
  <w:footnote w:type="continuationSeparator" w:id="0">
    <w:p w14:paraId="058AE87D" w14:textId="77777777" w:rsidR="009C2BE7" w:rsidRDefault="009C2BE7" w:rsidP="004A1A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827F4"/>
    <w:multiLevelType w:val="multilevel"/>
    <w:tmpl w:val="0F8006D8"/>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9BE5F49"/>
    <w:multiLevelType w:val="multilevel"/>
    <w:tmpl w:val="738C5E7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9F24A33"/>
    <w:multiLevelType w:val="multilevel"/>
    <w:tmpl w:val="9D3C83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495B71"/>
    <w:multiLevelType w:val="multilevel"/>
    <w:tmpl w:val="8CF04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7F2359"/>
    <w:multiLevelType w:val="multilevel"/>
    <w:tmpl w:val="A8868D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108081C"/>
    <w:multiLevelType w:val="multilevel"/>
    <w:tmpl w:val="70144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8B2308"/>
    <w:multiLevelType w:val="multilevel"/>
    <w:tmpl w:val="54A0E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27C49E1"/>
    <w:multiLevelType w:val="hybridMultilevel"/>
    <w:tmpl w:val="141E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3D54"/>
    <w:multiLevelType w:val="hybridMultilevel"/>
    <w:tmpl w:val="80B2B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F6EB5"/>
    <w:multiLevelType w:val="multilevel"/>
    <w:tmpl w:val="B8FE91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3B2101"/>
    <w:multiLevelType w:val="multilevel"/>
    <w:tmpl w:val="D9FC5C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5551E0F"/>
    <w:multiLevelType w:val="multilevel"/>
    <w:tmpl w:val="A47C97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754589"/>
    <w:multiLevelType w:val="hybridMultilevel"/>
    <w:tmpl w:val="A848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B6D5C"/>
    <w:multiLevelType w:val="multilevel"/>
    <w:tmpl w:val="53BA7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8774F5F"/>
    <w:multiLevelType w:val="multilevel"/>
    <w:tmpl w:val="45A65FE0"/>
    <w:lvl w:ilvl="0">
      <w:start w:val="1"/>
      <w:numFmt w:val="decimal"/>
      <w:lvlText w:val="%1."/>
      <w:lvlJc w:val="left"/>
      <w:pPr>
        <w:ind w:left="720" w:hanging="360"/>
      </w:pPr>
    </w:lvl>
    <w:lvl w:ilvl="1">
      <w:start w:val="2"/>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DE2A44"/>
    <w:multiLevelType w:val="multilevel"/>
    <w:tmpl w:val="5FD03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DC12BB7"/>
    <w:multiLevelType w:val="multilevel"/>
    <w:tmpl w:val="6F00B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53C25E9"/>
    <w:multiLevelType w:val="multilevel"/>
    <w:tmpl w:val="3664E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29416A81"/>
    <w:multiLevelType w:val="hybridMultilevel"/>
    <w:tmpl w:val="2DF461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4B3FD1"/>
    <w:multiLevelType w:val="multilevel"/>
    <w:tmpl w:val="11067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DF6747D"/>
    <w:multiLevelType w:val="multilevel"/>
    <w:tmpl w:val="42681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E24AD1"/>
    <w:multiLevelType w:val="multilevel"/>
    <w:tmpl w:val="DBE6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F2B395F"/>
    <w:multiLevelType w:val="multilevel"/>
    <w:tmpl w:val="7E781E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70E60A4"/>
    <w:multiLevelType w:val="multilevel"/>
    <w:tmpl w:val="6F186D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37491A32"/>
    <w:multiLevelType w:val="multilevel"/>
    <w:tmpl w:val="3F7244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80B3C77"/>
    <w:multiLevelType w:val="multilevel"/>
    <w:tmpl w:val="D60C2C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5632265"/>
    <w:multiLevelType w:val="multilevel"/>
    <w:tmpl w:val="44D61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F91A84"/>
    <w:multiLevelType w:val="multilevel"/>
    <w:tmpl w:val="EEEA1A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003565"/>
    <w:multiLevelType w:val="multilevel"/>
    <w:tmpl w:val="638EC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EB7CD7"/>
    <w:multiLevelType w:val="multilevel"/>
    <w:tmpl w:val="3154A9A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E490F8B"/>
    <w:multiLevelType w:val="multilevel"/>
    <w:tmpl w:val="DA50A9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54212EBC"/>
    <w:multiLevelType w:val="hybridMultilevel"/>
    <w:tmpl w:val="18A0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02526"/>
    <w:multiLevelType w:val="multilevel"/>
    <w:tmpl w:val="B2A25E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562F0800"/>
    <w:multiLevelType w:val="multilevel"/>
    <w:tmpl w:val="1B8C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693097E"/>
    <w:multiLevelType w:val="multilevel"/>
    <w:tmpl w:val="BBF2DF1E"/>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35" w15:restartNumberingAfterBreak="0">
    <w:nsid w:val="5F867332"/>
    <w:multiLevelType w:val="multilevel"/>
    <w:tmpl w:val="4736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0556320"/>
    <w:multiLevelType w:val="multilevel"/>
    <w:tmpl w:val="3AB836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7" w15:restartNumberingAfterBreak="0">
    <w:nsid w:val="613B622F"/>
    <w:multiLevelType w:val="multilevel"/>
    <w:tmpl w:val="F1F4D8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584379A"/>
    <w:multiLevelType w:val="multilevel"/>
    <w:tmpl w:val="B8843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EC6CB9"/>
    <w:multiLevelType w:val="multilevel"/>
    <w:tmpl w:val="8404FD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8F30430"/>
    <w:multiLevelType w:val="multilevel"/>
    <w:tmpl w:val="8FEA6B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E562F3B"/>
    <w:multiLevelType w:val="multilevel"/>
    <w:tmpl w:val="663EC7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2032D2F"/>
    <w:multiLevelType w:val="hybridMultilevel"/>
    <w:tmpl w:val="449EB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CE5E71"/>
    <w:multiLevelType w:val="hybridMultilevel"/>
    <w:tmpl w:val="AFFC0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E205305"/>
    <w:multiLevelType w:val="multilevel"/>
    <w:tmpl w:val="72D6FE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7F4A009F"/>
    <w:multiLevelType w:val="hybridMultilevel"/>
    <w:tmpl w:val="56B2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24"/>
  </w:num>
  <w:num w:numId="4">
    <w:abstractNumId w:val="5"/>
  </w:num>
  <w:num w:numId="5">
    <w:abstractNumId w:val="29"/>
  </w:num>
  <w:num w:numId="6">
    <w:abstractNumId w:val="0"/>
  </w:num>
  <w:num w:numId="7">
    <w:abstractNumId w:val="14"/>
  </w:num>
  <w:num w:numId="8">
    <w:abstractNumId w:val="26"/>
  </w:num>
  <w:num w:numId="9">
    <w:abstractNumId w:val="11"/>
  </w:num>
  <w:num w:numId="10">
    <w:abstractNumId w:val="21"/>
  </w:num>
  <w:num w:numId="11">
    <w:abstractNumId w:val="38"/>
  </w:num>
  <w:num w:numId="12">
    <w:abstractNumId w:val="39"/>
  </w:num>
  <w:num w:numId="13">
    <w:abstractNumId w:val="30"/>
  </w:num>
  <w:num w:numId="14">
    <w:abstractNumId w:val="44"/>
  </w:num>
  <w:num w:numId="15">
    <w:abstractNumId w:val="17"/>
  </w:num>
  <w:num w:numId="16">
    <w:abstractNumId w:val="28"/>
  </w:num>
  <w:num w:numId="17">
    <w:abstractNumId w:val="33"/>
  </w:num>
  <w:num w:numId="18">
    <w:abstractNumId w:val="40"/>
  </w:num>
  <w:num w:numId="19">
    <w:abstractNumId w:val="23"/>
  </w:num>
  <w:num w:numId="20">
    <w:abstractNumId w:val="27"/>
  </w:num>
  <w:num w:numId="21">
    <w:abstractNumId w:val="6"/>
  </w:num>
  <w:num w:numId="22">
    <w:abstractNumId w:val="41"/>
  </w:num>
  <w:num w:numId="23">
    <w:abstractNumId w:val="36"/>
  </w:num>
  <w:num w:numId="24">
    <w:abstractNumId w:val="32"/>
  </w:num>
  <w:num w:numId="25">
    <w:abstractNumId w:val="45"/>
  </w:num>
  <w:num w:numId="26">
    <w:abstractNumId w:val="8"/>
  </w:num>
  <w:num w:numId="27">
    <w:abstractNumId w:val="31"/>
  </w:num>
  <w:num w:numId="28">
    <w:abstractNumId w:val="2"/>
  </w:num>
  <w:num w:numId="29">
    <w:abstractNumId w:val="15"/>
  </w:num>
  <w:num w:numId="30">
    <w:abstractNumId w:val="1"/>
  </w:num>
  <w:num w:numId="31">
    <w:abstractNumId w:val="20"/>
  </w:num>
  <w:num w:numId="32">
    <w:abstractNumId w:val="4"/>
  </w:num>
  <w:num w:numId="33">
    <w:abstractNumId w:val="22"/>
  </w:num>
  <w:num w:numId="34">
    <w:abstractNumId w:val="19"/>
  </w:num>
  <w:num w:numId="35">
    <w:abstractNumId w:val="34"/>
  </w:num>
  <w:num w:numId="36">
    <w:abstractNumId w:val="13"/>
  </w:num>
  <w:num w:numId="37">
    <w:abstractNumId w:val="43"/>
  </w:num>
  <w:num w:numId="38">
    <w:abstractNumId w:val="18"/>
  </w:num>
  <w:num w:numId="39">
    <w:abstractNumId w:val="7"/>
  </w:num>
  <w:num w:numId="40">
    <w:abstractNumId w:val="35"/>
  </w:num>
  <w:num w:numId="41">
    <w:abstractNumId w:val="10"/>
  </w:num>
  <w:num w:numId="42">
    <w:abstractNumId w:val="3"/>
  </w:num>
  <w:num w:numId="43">
    <w:abstractNumId w:val="37"/>
  </w:num>
  <w:num w:numId="44">
    <w:abstractNumId w:val="25"/>
  </w:num>
  <w:num w:numId="45">
    <w:abstractNumId w:val="12"/>
  </w:num>
  <w:num w:numId="46">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E7"/>
    <w:rsid w:val="0002427B"/>
    <w:rsid w:val="00024AB6"/>
    <w:rsid w:val="00030267"/>
    <w:rsid w:val="000474E7"/>
    <w:rsid w:val="00050240"/>
    <w:rsid w:val="000502B7"/>
    <w:rsid w:val="0005474F"/>
    <w:rsid w:val="00064D2C"/>
    <w:rsid w:val="00065265"/>
    <w:rsid w:val="000664E3"/>
    <w:rsid w:val="00067DF1"/>
    <w:rsid w:val="00071912"/>
    <w:rsid w:val="00076B25"/>
    <w:rsid w:val="00083308"/>
    <w:rsid w:val="00084E1E"/>
    <w:rsid w:val="00086539"/>
    <w:rsid w:val="000932F2"/>
    <w:rsid w:val="000976C3"/>
    <w:rsid w:val="000A2F79"/>
    <w:rsid w:val="000B2983"/>
    <w:rsid w:val="000C3992"/>
    <w:rsid w:val="000C62EC"/>
    <w:rsid w:val="000D0E77"/>
    <w:rsid w:val="000D23E8"/>
    <w:rsid w:val="000E2AA0"/>
    <w:rsid w:val="000F386A"/>
    <w:rsid w:val="000F447E"/>
    <w:rsid w:val="00105747"/>
    <w:rsid w:val="00135E27"/>
    <w:rsid w:val="00145C43"/>
    <w:rsid w:val="00157210"/>
    <w:rsid w:val="00157F7F"/>
    <w:rsid w:val="001669CE"/>
    <w:rsid w:val="001741C8"/>
    <w:rsid w:val="001746A9"/>
    <w:rsid w:val="00182DA4"/>
    <w:rsid w:val="00183B14"/>
    <w:rsid w:val="00190606"/>
    <w:rsid w:val="0019502C"/>
    <w:rsid w:val="001A55BE"/>
    <w:rsid w:val="001B5B10"/>
    <w:rsid w:val="001C0062"/>
    <w:rsid w:val="001D1362"/>
    <w:rsid w:val="001D205C"/>
    <w:rsid w:val="001D69BE"/>
    <w:rsid w:val="001E01D5"/>
    <w:rsid w:val="001E47E1"/>
    <w:rsid w:val="0020679B"/>
    <w:rsid w:val="00207DFB"/>
    <w:rsid w:val="00212E5C"/>
    <w:rsid w:val="00217933"/>
    <w:rsid w:val="00223BC0"/>
    <w:rsid w:val="00224F94"/>
    <w:rsid w:val="00227C6E"/>
    <w:rsid w:val="00231DD9"/>
    <w:rsid w:val="00241E0A"/>
    <w:rsid w:val="002431A2"/>
    <w:rsid w:val="002439AA"/>
    <w:rsid w:val="00247B08"/>
    <w:rsid w:val="00260E62"/>
    <w:rsid w:val="00262E4B"/>
    <w:rsid w:val="0027098C"/>
    <w:rsid w:val="0027227A"/>
    <w:rsid w:val="002808CE"/>
    <w:rsid w:val="00291B7B"/>
    <w:rsid w:val="002A12FF"/>
    <w:rsid w:val="002A3EEE"/>
    <w:rsid w:val="002B20B8"/>
    <w:rsid w:val="002B4EB6"/>
    <w:rsid w:val="002C5DBF"/>
    <w:rsid w:val="002F088A"/>
    <w:rsid w:val="002F1A67"/>
    <w:rsid w:val="002F29AF"/>
    <w:rsid w:val="002F6455"/>
    <w:rsid w:val="003110CE"/>
    <w:rsid w:val="00334BE9"/>
    <w:rsid w:val="00354D18"/>
    <w:rsid w:val="0037064C"/>
    <w:rsid w:val="00372CBD"/>
    <w:rsid w:val="0038459D"/>
    <w:rsid w:val="003848DB"/>
    <w:rsid w:val="00390AEB"/>
    <w:rsid w:val="00396936"/>
    <w:rsid w:val="003B18DD"/>
    <w:rsid w:val="003B22CB"/>
    <w:rsid w:val="003C3EFB"/>
    <w:rsid w:val="003D3FEF"/>
    <w:rsid w:val="003F68FF"/>
    <w:rsid w:val="003F71F6"/>
    <w:rsid w:val="003F74E5"/>
    <w:rsid w:val="00401166"/>
    <w:rsid w:val="00411167"/>
    <w:rsid w:val="0041424B"/>
    <w:rsid w:val="0042241A"/>
    <w:rsid w:val="00432A09"/>
    <w:rsid w:val="004420C9"/>
    <w:rsid w:val="00453B84"/>
    <w:rsid w:val="00457EE1"/>
    <w:rsid w:val="00470A13"/>
    <w:rsid w:val="00471950"/>
    <w:rsid w:val="00490168"/>
    <w:rsid w:val="004916AF"/>
    <w:rsid w:val="00493DA5"/>
    <w:rsid w:val="004A1AF2"/>
    <w:rsid w:val="004A51A7"/>
    <w:rsid w:val="004B3645"/>
    <w:rsid w:val="004B74B6"/>
    <w:rsid w:val="004C771C"/>
    <w:rsid w:val="004E53F3"/>
    <w:rsid w:val="004E79EC"/>
    <w:rsid w:val="004F2E57"/>
    <w:rsid w:val="00503B27"/>
    <w:rsid w:val="00505E95"/>
    <w:rsid w:val="00511C91"/>
    <w:rsid w:val="00513B57"/>
    <w:rsid w:val="00531F69"/>
    <w:rsid w:val="0053401A"/>
    <w:rsid w:val="00540AE5"/>
    <w:rsid w:val="00545BE7"/>
    <w:rsid w:val="0055492A"/>
    <w:rsid w:val="00554D34"/>
    <w:rsid w:val="00562C08"/>
    <w:rsid w:val="00570207"/>
    <w:rsid w:val="00585958"/>
    <w:rsid w:val="00587B17"/>
    <w:rsid w:val="00590ABE"/>
    <w:rsid w:val="005A29C7"/>
    <w:rsid w:val="005C6A02"/>
    <w:rsid w:val="005E05F7"/>
    <w:rsid w:val="005E3A2A"/>
    <w:rsid w:val="005E4828"/>
    <w:rsid w:val="00611188"/>
    <w:rsid w:val="006130D7"/>
    <w:rsid w:val="0062137D"/>
    <w:rsid w:val="00625CC3"/>
    <w:rsid w:val="00630CD8"/>
    <w:rsid w:val="00631D08"/>
    <w:rsid w:val="00632B3E"/>
    <w:rsid w:val="00641117"/>
    <w:rsid w:val="0064121F"/>
    <w:rsid w:val="00641A86"/>
    <w:rsid w:val="00654B3E"/>
    <w:rsid w:val="00661CEC"/>
    <w:rsid w:val="00663BC2"/>
    <w:rsid w:val="0066590A"/>
    <w:rsid w:val="00673D49"/>
    <w:rsid w:val="00685C2F"/>
    <w:rsid w:val="00691CCE"/>
    <w:rsid w:val="00695062"/>
    <w:rsid w:val="00695946"/>
    <w:rsid w:val="006A790F"/>
    <w:rsid w:val="006B052B"/>
    <w:rsid w:val="006B4879"/>
    <w:rsid w:val="006D7BDB"/>
    <w:rsid w:val="006E04BA"/>
    <w:rsid w:val="006E3616"/>
    <w:rsid w:val="006F0444"/>
    <w:rsid w:val="006F1119"/>
    <w:rsid w:val="00702C70"/>
    <w:rsid w:val="0071393D"/>
    <w:rsid w:val="00723D07"/>
    <w:rsid w:val="00737629"/>
    <w:rsid w:val="007418AE"/>
    <w:rsid w:val="007479F3"/>
    <w:rsid w:val="007604FD"/>
    <w:rsid w:val="007647D8"/>
    <w:rsid w:val="0076707C"/>
    <w:rsid w:val="00777310"/>
    <w:rsid w:val="00780C28"/>
    <w:rsid w:val="00782178"/>
    <w:rsid w:val="007839B8"/>
    <w:rsid w:val="0078425C"/>
    <w:rsid w:val="007912EA"/>
    <w:rsid w:val="007953F2"/>
    <w:rsid w:val="00797041"/>
    <w:rsid w:val="00797948"/>
    <w:rsid w:val="007C13EB"/>
    <w:rsid w:val="007C405E"/>
    <w:rsid w:val="007D0D91"/>
    <w:rsid w:val="007E1714"/>
    <w:rsid w:val="007E6037"/>
    <w:rsid w:val="007E75CC"/>
    <w:rsid w:val="007F1203"/>
    <w:rsid w:val="0080225E"/>
    <w:rsid w:val="00806E6E"/>
    <w:rsid w:val="0081710A"/>
    <w:rsid w:val="0083528F"/>
    <w:rsid w:val="00841753"/>
    <w:rsid w:val="00853D42"/>
    <w:rsid w:val="008552DC"/>
    <w:rsid w:val="008639E5"/>
    <w:rsid w:val="00870395"/>
    <w:rsid w:val="008867C1"/>
    <w:rsid w:val="00887024"/>
    <w:rsid w:val="0088756E"/>
    <w:rsid w:val="00893134"/>
    <w:rsid w:val="008B4DB2"/>
    <w:rsid w:val="008C1ABA"/>
    <w:rsid w:val="008C400E"/>
    <w:rsid w:val="008E75CE"/>
    <w:rsid w:val="008F154C"/>
    <w:rsid w:val="00900AD0"/>
    <w:rsid w:val="0090341A"/>
    <w:rsid w:val="009129EF"/>
    <w:rsid w:val="009153FB"/>
    <w:rsid w:val="009171D4"/>
    <w:rsid w:val="00925B41"/>
    <w:rsid w:val="0092666E"/>
    <w:rsid w:val="00931D48"/>
    <w:rsid w:val="00931F6C"/>
    <w:rsid w:val="00935009"/>
    <w:rsid w:val="00935391"/>
    <w:rsid w:val="00935AF1"/>
    <w:rsid w:val="009402E9"/>
    <w:rsid w:val="009532BF"/>
    <w:rsid w:val="009705A0"/>
    <w:rsid w:val="009808EF"/>
    <w:rsid w:val="00981ABC"/>
    <w:rsid w:val="00995035"/>
    <w:rsid w:val="00997E63"/>
    <w:rsid w:val="009A404B"/>
    <w:rsid w:val="009C2BE7"/>
    <w:rsid w:val="009C2C61"/>
    <w:rsid w:val="009D18AF"/>
    <w:rsid w:val="009D57CC"/>
    <w:rsid w:val="009E032A"/>
    <w:rsid w:val="009E4B2E"/>
    <w:rsid w:val="00A0224A"/>
    <w:rsid w:val="00A1025D"/>
    <w:rsid w:val="00A12ADD"/>
    <w:rsid w:val="00A15A0A"/>
    <w:rsid w:val="00A17729"/>
    <w:rsid w:val="00A205A2"/>
    <w:rsid w:val="00A26AED"/>
    <w:rsid w:val="00A27941"/>
    <w:rsid w:val="00A34C18"/>
    <w:rsid w:val="00A57D37"/>
    <w:rsid w:val="00A62848"/>
    <w:rsid w:val="00A67868"/>
    <w:rsid w:val="00A721E0"/>
    <w:rsid w:val="00A87F72"/>
    <w:rsid w:val="00AA43A8"/>
    <w:rsid w:val="00AA5638"/>
    <w:rsid w:val="00AB0085"/>
    <w:rsid w:val="00AB017C"/>
    <w:rsid w:val="00AB15A1"/>
    <w:rsid w:val="00AC4A8B"/>
    <w:rsid w:val="00AD5B8C"/>
    <w:rsid w:val="00AD64B2"/>
    <w:rsid w:val="00AD6881"/>
    <w:rsid w:val="00AE79AC"/>
    <w:rsid w:val="00AF03C2"/>
    <w:rsid w:val="00B103FB"/>
    <w:rsid w:val="00B11EE4"/>
    <w:rsid w:val="00B148AE"/>
    <w:rsid w:val="00B1621F"/>
    <w:rsid w:val="00B20A42"/>
    <w:rsid w:val="00B22257"/>
    <w:rsid w:val="00B37302"/>
    <w:rsid w:val="00B44CFA"/>
    <w:rsid w:val="00B45AD5"/>
    <w:rsid w:val="00B90C59"/>
    <w:rsid w:val="00B90E8C"/>
    <w:rsid w:val="00B915DE"/>
    <w:rsid w:val="00B9501A"/>
    <w:rsid w:val="00BB1207"/>
    <w:rsid w:val="00BB287D"/>
    <w:rsid w:val="00BB4FA5"/>
    <w:rsid w:val="00BC1BC1"/>
    <w:rsid w:val="00BC5179"/>
    <w:rsid w:val="00BF2CB2"/>
    <w:rsid w:val="00C05F2C"/>
    <w:rsid w:val="00C1122B"/>
    <w:rsid w:val="00C11283"/>
    <w:rsid w:val="00C3578F"/>
    <w:rsid w:val="00C4784C"/>
    <w:rsid w:val="00C518D1"/>
    <w:rsid w:val="00C525CC"/>
    <w:rsid w:val="00C56788"/>
    <w:rsid w:val="00C64ADB"/>
    <w:rsid w:val="00C74893"/>
    <w:rsid w:val="00C775C4"/>
    <w:rsid w:val="00C84197"/>
    <w:rsid w:val="00C84994"/>
    <w:rsid w:val="00C95D93"/>
    <w:rsid w:val="00C96682"/>
    <w:rsid w:val="00CA0C07"/>
    <w:rsid w:val="00CA3B38"/>
    <w:rsid w:val="00CB079E"/>
    <w:rsid w:val="00CB1722"/>
    <w:rsid w:val="00CC225E"/>
    <w:rsid w:val="00CD0193"/>
    <w:rsid w:val="00CE5793"/>
    <w:rsid w:val="00CE5F37"/>
    <w:rsid w:val="00D1376C"/>
    <w:rsid w:val="00D33AC9"/>
    <w:rsid w:val="00D41006"/>
    <w:rsid w:val="00D43E7A"/>
    <w:rsid w:val="00D44599"/>
    <w:rsid w:val="00D54929"/>
    <w:rsid w:val="00D632CF"/>
    <w:rsid w:val="00D73797"/>
    <w:rsid w:val="00D8166D"/>
    <w:rsid w:val="00D959E3"/>
    <w:rsid w:val="00DA5365"/>
    <w:rsid w:val="00DA7D25"/>
    <w:rsid w:val="00DB2390"/>
    <w:rsid w:val="00DB319B"/>
    <w:rsid w:val="00DC3829"/>
    <w:rsid w:val="00DC6543"/>
    <w:rsid w:val="00DD45AC"/>
    <w:rsid w:val="00DE73FE"/>
    <w:rsid w:val="00E0411D"/>
    <w:rsid w:val="00E14001"/>
    <w:rsid w:val="00E15655"/>
    <w:rsid w:val="00E4413A"/>
    <w:rsid w:val="00E567EA"/>
    <w:rsid w:val="00E60EBB"/>
    <w:rsid w:val="00E818DB"/>
    <w:rsid w:val="00E8516C"/>
    <w:rsid w:val="00E860E7"/>
    <w:rsid w:val="00EA1A8E"/>
    <w:rsid w:val="00EA4E6D"/>
    <w:rsid w:val="00EA5679"/>
    <w:rsid w:val="00EA688F"/>
    <w:rsid w:val="00EB4AD9"/>
    <w:rsid w:val="00EB51E9"/>
    <w:rsid w:val="00EC3667"/>
    <w:rsid w:val="00EC7802"/>
    <w:rsid w:val="00EE0881"/>
    <w:rsid w:val="00EE384A"/>
    <w:rsid w:val="00EE517C"/>
    <w:rsid w:val="00EE79CA"/>
    <w:rsid w:val="00EF2928"/>
    <w:rsid w:val="00F000F7"/>
    <w:rsid w:val="00F03734"/>
    <w:rsid w:val="00F14D8B"/>
    <w:rsid w:val="00F17AE1"/>
    <w:rsid w:val="00F21B56"/>
    <w:rsid w:val="00F3185A"/>
    <w:rsid w:val="00F41EEB"/>
    <w:rsid w:val="00F45D6F"/>
    <w:rsid w:val="00F54FE6"/>
    <w:rsid w:val="00F61959"/>
    <w:rsid w:val="00F63926"/>
    <w:rsid w:val="00F745AB"/>
    <w:rsid w:val="00F77175"/>
    <w:rsid w:val="00F9301A"/>
    <w:rsid w:val="00FA5927"/>
    <w:rsid w:val="00FB11EA"/>
    <w:rsid w:val="00FB5610"/>
    <w:rsid w:val="00FB6559"/>
    <w:rsid w:val="00FE5365"/>
    <w:rsid w:val="00FF0C4E"/>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8FB9"/>
  <w15:chartTrackingRefBased/>
  <w15:docId w15:val="{0EFC57A7-1CDA-0343-87D0-D0EECBB9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933"/>
  </w:style>
  <w:style w:type="paragraph" w:styleId="Heading1">
    <w:name w:val="heading 1"/>
    <w:basedOn w:val="Normal"/>
    <w:next w:val="Normal"/>
    <w:link w:val="Heading1Char"/>
    <w:uiPriority w:val="9"/>
    <w:qFormat/>
    <w:rsid w:val="0021793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1793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21793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217933"/>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17933"/>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17933"/>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1793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17933"/>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1793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0E7"/>
    <w:pPr>
      <w:ind w:left="720"/>
      <w:contextualSpacing/>
    </w:pPr>
  </w:style>
  <w:style w:type="paragraph" w:customStyle="1" w:styleId="Default">
    <w:name w:val="Default"/>
    <w:rsid w:val="007F120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82DA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710A"/>
    <w:rPr>
      <w:color w:val="0000FF"/>
      <w:u w:val="single"/>
    </w:rPr>
  </w:style>
  <w:style w:type="character" w:styleId="Strong">
    <w:name w:val="Strong"/>
    <w:basedOn w:val="DefaultParagraphFont"/>
    <w:uiPriority w:val="22"/>
    <w:qFormat/>
    <w:rsid w:val="001746A9"/>
    <w:rPr>
      <w:rFonts w:ascii="Calibri" w:hAnsi="Calibri"/>
      <w:b/>
      <w:bCs/>
      <w:color w:val="auto"/>
      <w:sz w:val="22"/>
    </w:rPr>
  </w:style>
  <w:style w:type="table" w:styleId="TableGrid">
    <w:name w:val="Table Grid"/>
    <w:basedOn w:val="TableNormal"/>
    <w:uiPriority w:val="39"/>
    <w:rsid w:val="00241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4F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4F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6682"/>
    <w:rPr>
      <w:sz w:val="16"/>
      <w:szCs w:val="16"/>
    </w:rPr>
  </w:style>
  <w:style w:type="paragraph" w:styleId="CommentText">
    <w:name w:val="annotation text"/>
    <w:basedOn w:val="Normal"/>
    <w:link w:val="CommentTextChar"/>
    <w:uiPriority w:val="99"/>
    <w:semiHidden/>
    <w:unhideWhenUsed/>
    <w:rsid w:val="00C96682"/>
    <w:pPr>
      <w:spacing w:line="240" w:lineRule="auto"/>
    </w:pPr>
    <w:rPr>
      <w:sz w:val="20"/>
      <w:szCs w:val="20"/>
    </w:rPr>
  </w:style>
  <w:style w:type="character" w:customStyle="1" w:styleId="CommentTextChar">
    <w:name w:val="Comment Text Char"/>
    <w:basedOn w:val="DefaultParagraphFont"/>
    <w:link w:val="CommentText"/>
    <w:uiPriority w:val="99"/>
    <w:semiHidden/>
    <w:rsid w:val="00C96682"/>
    <w:rPr>
      <w:sz w:val="20"/>
      <w:szCs w:val="20"/>
    </w:rPr>
  </w:style>
  <w:style w:type="paragraph" w:styleId="CommentSubject">
    <w:name w:val="annotation subject"/>
    <w:basedOn w:val="CommentText"/>
    <w:next w:val="CommentText"/>
    <w:link w:val="CommentSubjectChar"/>
    <w:uiPriority w:val="99"/>
    <w:semiHidden/>
    <w:unhideWhenUsed/>
    <w:rsid w:val="00C96682"/>
    <w:rPr>
      <w:b/>
      <w:bCs/>
    </w:rPr>
  </w:style>
  <w:style w:type="character" w:customStyle="1" w:styleId="CommentSubjectChar">
    <w:name w:val="Comment Subject Char"/>
    <w:basedOn w:val="CommentTextChar"/>
    <w:link w:val="CommentSubject"/>
    <w:uiPriority w:val="99"/>
    <w:semiHidden/>
    <w:rsid w:val="00C96682"/>
    <w:rPr>
      <w:b/>
      <w:bCs/>
      <w:sz w:val="20"/>
      <w:szCs w:val="20"/>
    </w:rPr>
  </w:style>
  <w:style w:type="paragraph" w:styleId="Header">
    <w:name w:val="header"/>
    <w:basedOn w:val="Normal"/>
    <w:link w:val="HeaderChar"/>
    <w:uiPriority w:val="99"/>
    <w:unhideWhenUsed/>
    <w:rsid w:val="004A1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AF2"/>
  </w:style>
  <w:style w:type="paragraph" w:styleId="Footer">
    <w:name w:val="footer"/>
    <w:basedOn w:val="Normal"/>
    <w:link w:val="FooterChar"/>
    <w:uiPriority w:val="99"/>
    <w:unhideWhenUsed/>
    <w:rsid w:val="004A1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AF2"/>
  </w:style>
  <w:style w:type="character" w:styleId="PageNumber">
    <w:name w:val="page number"/>
    <w:basedOn w:val="DefaultParagraphFont"/>
    <w:uiPriority w:val="99"/>
    <w:semiHidden/>
    <w:unhideWhenUsed/>
    <w:rsid w:val="004A1AF2"/>
  </w:style>
  <w:style w:type="character" w:customStyle="1" w:styleId="Heading1Char">
    <w:name w:val="Heading 1 Char"/>
    <w:basedOn w:val="DefaultParagraphFont"/>
    <w:link w:val="Heading1"/>
    <w:uiPriority w:val="9"/>
    <w:rsid w:val="00217933"/>
    <w:rPr>
      <w:rFonts w:asciiTheme="majorHAnsi" w:eastAsiaTheme="majorEastAsia" w:hAnsiTheme="majorHAnsi" w:cstheme="majorBidi"/>
      <w:color w:val="262626" w:themeColor="text1" w:themeTint="D9"/>
      <w:sz w:val="32"/>
      <w:szCs w:val="32"/>
    </w:rPr>
  </w:style>
  <w:style w:type="character" w:styleId="FollowedHyperlink">
    <w:name w:val="FollowedHyperlink"/>
    <w:basedOn w:val="DefaultParagraphFont"/>
    <w:uiPriority w:val="99"/>
    <w:semiHidden/>
    <w:unhideWhenUsed/>
    <w:rsid w:val="00925B41"/>
    <w:rPr>
      <w:color w:val="954F72" w:themeColor="followedHyperlink"/>
      <w:u w:val="single"/>
    </w:rPr>
  </w:style>
  <w:style w:type="paragraph" w:styleId="BodyText">
    <w:name w:val="Body Text"/>
    <w:basedOn w:val="Normal"/>
    <w:link w:val="BodyTextChar"/>
    <w:uiPriority w:val="1"/>
    <w:rsid w:val="00457EE1"/>
    <w:pPr>
      <w:widowControl w:val="0"/>
      <w:autoSpaceDE w:val="0"/>
      <w:autoSpaceDN w:val="0"/>
      <w:spacing w:after="0" w:line="240" w:lineRule="auto"/>
    </w:pPr>
    <w:rPr>
      <w:rFonts w:ascii="Adobe Devanagari" w:eastAsia="Adobe Devanagari" w:hAnsi="Adobe Devanagari" w:cs="Adobe Devanagari"/>
      <w:sz w:val="24"/>
      <w:szCs w:val="24"/>
    </w:rPr>
  </w:style>
  <w:style w:type="character" w:customStyle="1" w:styleId="BodyTextChar">
    <w:name w:val="Body Text Char"/>
    <w:basedOn w:val="DefaultParagraphFont"/>
    <w:link w:val="BodyText"/>
    <w:uiPriority w:val="1"/>
    <w:rsid w:val="00457EE1"/>
    <w:rPr>
      <w:rFonts w:ascii="Adobe Devanagari" w:eastAsia="Adobe Devanagari" w:hAnsi="Adobe Devanagari" w:cs="Adobe Devanagari"/>
      <w:sz w:val="24"/>
      <w:szCs w:val="24"/>
    </w:rPr>
  </w:style>
  <w:style w:type="table" w:styleId="TableGridLight">
    <w:name w:val="Grid Table Light"/>
    <w:basedOn w:val="TableNormal"/>
    <w:uiPriority w:val="40"/>
    <w:rsid w:val="00EB51E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EB51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EB51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B51E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EB51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B915DE"/>
    <w:pPr>
      <w:spacing w:after="0" w:line="240" w:lineRule="auto"/>
    </w:pPr>
  </w:style>
  <w:style w:type="paragraph" w:styleId="Title">
    <w:name w:val="Title"/>
    <w:basedOn w:val="Normal"/>
    <w:next w:val="Normal"/>
    <w:link w:val="TitleChar"/>
    <w:uiPriority w:val="10"/>
    <w:qFormat/>
    <w:rsid w:val="0021793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17933"/>
    <w:rPr>
      <w:rFonts w:asciiTheme="majorHAnsi" w:eastAsiaTheme="majorEastAsia" w:hAnsiTheme="majorHAnsi" w:cstheme="majorBidi"/>
      <w:spacing w:val="-10"/>
      <w:sz w:val="56"/>
      <w:szCs w:val="56"/>
    </w:rPr>
  </w:style>
  <w:style w:type="character" w:customStyle="1" w:styleId="UnresolvedMention1">
    <w:name w:val="Unresolved Mention1"/>
    <w:basedOn w:val="DefaultParagraphFont"/>
    <w:uiPriority w:val="99"/>
    <w:semiHidden/>
    <w:unhideWhenUsed/>
    <w:rsid w:val="00064D2C"/>
    <w:rPr>
      <w:color w:val="605E5C"/>
      <w:shd w:val="clear" w:color="auto" w:fill="E1DFDD"/>
    </w:rPr>
  </w:style>
  <w:style w:type="character" w:styleId="UnresolvedMention">
    <w:name w:val="Unresolved Mention"/>
    <w:basedOn w:val="DefaultParagraphFont"/>
    <w:uiPriority w:val="99"/>
    <w:semiHidden/>
    <w:unhideWhenUsed/>
    <w:rsid w:val="0066590A"/>
    <w:rPr>
      <w:color w:val="605E5C"/>
      <w:shd w:val="clear" w:color="auto" w:fill="E1DFDD"/>
    </w:rPr>
  </w:style>
  <w:style w:type="paragraph" w:styleId="NoSpacing">
    <w:name w:val="No Spacing"/>
    <w:uiPriority w:val="1"/>
    <w:qFormat/>
    <w:rsid w:val="00217933"/>
    <w:pPr>
      <w:spacing w:after="0" w:line="240" w:lineRule="auto"/>
    </w:pPr>
  </w:style>
  <w:style w:type="character" w:customStyle="1" w:styleId="Heading2Char">
    <w:name w:val="Heading 2 Char"/>
    <w:basedOn w:val="DefaultParagraphFont"/>
    <w:link w:val="Heading2"/>
    <w:uiPriority w:val="9"/>
    <w:rsid w:val="00217933"/>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17933"/>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217933"/>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17933"/>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17933"/>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1793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17933"/>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1793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17933"/>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21793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17933"/>
    <w:rPr>
      <w:color w:val="5A5A5A" w:themeColor="text1" w:themeTint="A5"/>
      <w:spacing w:val="15"/>
    </w:rPr>
  </w:style>
  <w:style w:type="character" w:styleId="Emphasis">
    <w:name w:val="Emphasis"/>
    <w:basedOn w:val="DefaultParagraphFont"/>
    <w:uiPriority w:val="20"/>
    <w:qFormat/>
    <w:rsid w:val="00217933"/>
    <w:rPr>
      <w:i/>
      <w:iCs/>
      <w:color w:val="auto"/>
    </w:rPr>
  </w:style>
  <w:style w:type="paragraph" w:styleId="Quote">
    <w:name w:val="Quote"/>
    <w:basedOn w:val="Normal"/>
    <w:next w:val="Normal"/>
    <w:link w:val="QuoteChar"/>
    <w:uiPriority w:val="29"/>
    <w:qFormat/>
    <w:rsid w:val="0021793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17933"/>
    <w:rPr>
      <w:i/>
      <w:iCs/>
      <w:color w:val="404040" w:themeColor="text1" w:themeTint="BF"/>
    </w:rPr>
  </w:style>
  <w:style w:type="paragraph" w:styleId="IntenseQuote">
    <w:name w:val="Intense Quote"/>
    <w:basedOn w:val="Normal"/>
    <w:next w:val="Normal"/>
    <w:link w:val="IntenseQuoteChar"/>
    <w:uiPriority w:val="30"/>
    <w:qFormat/>
    <w:rsid w:val="0021793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17933"/>
    <w:rPr>
      <w:i/>
      <w:iCs/>
      <w:color w:val="404040" w:themeColor="text1" w:themeTint="BF"/>
    </w:rPr>
  </w:style>
  <w:style w:type="character" w:styleId="SubtleEmphasis">
    <w:name w:val="Subtle Emphasis"/>
    <w:basedOn w:val="DefaultParagraphFont"/>
    <w:uiPriority w:val="19"/>
    <w:qFormat/>
    <w:rsid w:val="00217933"/>
    <w:rPr>
      <w:i/>
      <w:iCs/>
      <w:color w:val="404040" w:themeColor="text1" w:themeTint="BF"/>
    </w:rPr>
  </w:style>
  <w:style w:type="character" w:styleId="IntenseEmphasis">
    <w:name w:val="Intense Emphasis"/>
    <w:basedOn w:val="DefaultParagraphFont"/>
    <w:uiPriority w:val="21"/>
    <w:qFormat/>
    <w:rsid w:val="00217933"/>
    <w:rPr>
      <w:b/>
      <w:bCs/>
      <w:i/>
      <w:iCs/>
      <w:color w:val="auto"/>
    </w:rPr>
  </w:style>
  <w:style w:type="character" w:styleId="SubtleReference">
    <w:name w:val="Subtle Reference"/>
    <w:basedOn w:val="DefaultParagraphFont"/>
    <w:uiPriority w:val="31"/>
    <w:qFormat/>
    <w:rsid w:val="00217933"/>
    <w:rPr>
      <w:smallCaps/>
      <w:color w:val="404040" w:themeColor="text1" w:themeTint="BF"/>
    </w:rPr>
  </w:style>
  <w:style w:type="character" w:styleId="IntenseReference">
    <w:name w:val="Intense Reference"/>
    <w:basedOn w:val="DefaultParagraphFont"/>
    <w:uiPriority w:val="32"/>
    <w:qFormat/>
    <w:rsid w:val="00217933"/>
    <w:rPr>
      <w:b/>
      <w:bCs/>
      <w:smallCaps/>
      <w:color w:val="404040" w:themeColor="text1" w:themeTint="BF"/>
      <w:spacing w:val="5"/>
    </w:rPr>
  </w:style>
  <w:style w:type="character" w:styleId="BookTitle">
    <w:name w:val="Book Title"/>
    <w:basedOn w:val="DefaultParagraphFont"/>
    <w:uiPriority w:val="33"/>
    <w:qFormat/>
    <w:rsid w:val="00217933"/>
    <w:rPr>
      <w:b/>
      <w:bCs/>
      <w:i/>
      <w:iCs/>
      <w:spacing w:val="5"/>
    </w:rPr>
  </w:style>
  <w:style w:type="paragraph" w:styleId="TOCHeading">
    <w:name w:val="TOC Heading"/>
    <w:basedOn w:val="Heading1"/>
    <w:next w:val="Normal"/>
    <w:uiPriority w:val="39"/>
    <w:unhideWhenUsed/>
    <w:qFormat/>
    <w:rsid w:val="00217933"/>
    <w:pPr>
      <w:outlineLvl w:val="9"/>
    </w:pPr>
  </w:style>
  <w:style w:type="paragraph" w:styleId="TOC1">
    <w:name w:val="toc 1"/>
    <w:basedOn w:val="Normal"/>
    <w:next w:val="Normal"/>
    <w:autoRedefine/>
    <w:uiPriority w:val="39"/>
    <w:unhideWhenUsed/>
    <w:rsid w:val="00C11283"/>
    <w:pPr>
      <w:spacing w:after="100"/>
    </w:pPr>
  </w:style>
  <w:style w:type="paragraph" w:styleId="TOC2">
    <w:name w:val="toc 2"/>
    <w:basedOn w:val="Normal"/>
    <w:next w:val="Normal"/>
    <w:autoRedefine/>
    <w:uiPriority w:val="39"/>
    <w:unhideWhenUsed/>
    <w:rsid w:val="00C1128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7761">
      <w:bodyDiv w:val="1"/>
      <w:marLeft w:val="0"/>
      <w:marRight w:val="0"/>
      <w:marTop w:val="0"/>
      <w:marBottom w:val="0"/>
      <w:divBdr>
        <w:top w:val="none" w:sz="0" w:space="0" w:color="auto"/>
        <w:left w:val="none" w:sz="0" w:space="0" w:color="auto"/>
        <w:bottom w:val="none" w:sz="0" w:space="0" w:color="auto"/>
        <w:right w:val="none" w:sz="0" w:space="0" w:color="auto"/>
      </w:divBdr>
      <w:divsChild>
        <w:div w:id="158466224">
          <w:marLeft w:val="274"/>
          <w:marRight w:val="0"/>
          <w:marTop w:val="150"/>
          <w:marBottom w:val="0"/>
          <w:divBdr>
            <w:top w:val="none" w:sz="0" w:space="0" w:color="auto"/>
            <w:left w:val="none" w:sz="0" w:space="0" w:color="auto"/>
            <w:bottom w:val="none" w:sz="0" w:space="0" w:color="auto"/>
            <w:right w:val="none" w:sz="0" w:space="0" w:color="auto"/>
          </w:divBdr>
        </w:div>
        <w:div w:id="508568567">
          <w:marLeft w:val="274"/>
          <w:marRight w:val="0"/>
          <w:marTop w:val="150"/>
          <w:marBottom w:val="0"/>
          <w:divBdr>
            <w:top w:val="none" w:sz="0" w:space="0" w:color="auto"/>
            <w:left w:val="none" w:sz="0" w:space="0" w:color="auto"/>
            <w:bottom w:val="none" w:sz="0" w:space="0" w:color="auto"/>
            <w:right w:val="none" w:sz="0" w:space="0" w:color="auto"/>
          </w:divBdr>
        </w:div>
        <w:div w:id="1012301456">
          <w:marLeft w:val="274"/>
          <w:marRight w:val="0"/>
          <w:marTop w:val="150"/>
          <w:marBottom w:val="0"/>
          <w:divBdr>
            <w:top w:val="none" w:sz="0" w:space="0" w:color="auto"/>
            <w:left w:val="none" w:sz="0" w:space="0" w:color="auto"/>
            <w:bottom w:val="none" w:sz="0" w:space="0" w:color="auto"/>
            <w:right w:val="none" w:sz="0" w:space="0" w:color="auto"/>
          </w:divBdr>
        </w:div>
        <w:div w:id="1182235099">
          <w:marLeft w:val="274"/>
          <w:marRight w:val="0"/>
          <w:marTop w:val="150"/>
          <w:marBottom w:val="0"/>
          <w:divBdr>
            <w:top w:val="none" w:sz="0" w:space="0" w:color="auto"/>
            <w:left w:val="none" w:sz="0" w:space="0" w:color="auto"/>
            <w:bottom w:val="none" w:sz="0" w:space="0" w:color="auto"/>
            <w:right w:val="none" w:sz="0" w:space="0" w:color="auto"/>
          </w:divBdr>
        </w:div>
        <w:div w:id="1908563136">
          <w:marLeft w:val="274"/>
          <w:marRight w:val="0"/>
          <w:marTop w:val="150"/>
          <w:marBottom w:val="0"/>
          <w:divBdr>
            <w:top w:val="none" w:sz="0" w:space="0" w:color="auto"/>
            <w:left w:val="none" w:sz="0" w:space="0" w:color="auto"/>
            <w:bottom w:val="none" w:sz="0" w:space="0" w:color="auto"/>
            <w:right w:val="none" w:sz="0" w:space="0" w:color="auto"/>
          </w:divBdr>
        </w:div>
        <w:div w:id="2020892355">
          <w:marLeft w:val="274"/>
          <w:marRight w:val="0"/>
          <w:marTop w:val="150"/>
          <w:marBottom w:val="0"/>
          <w:divBdr>
            <w:top w:val="none" w:sz="0" w:space="0" w:color="auto"/>
            <w:left w:val="none" w:sz="0" w:space="0" w:color="auto"/>
            <w:bottom w:val="none" w:sz="0" w:space="0" w:color="auto"/>
            <w:right w:val="none" w:sz="0" w:space="0" w:color="auto"/>
          </w:divBdr>
        </w:div>
      </w:divsChild>
    </w:div>
    <w:div w:id="210119332">
      <w:bodyDiv w:val="1"/>
      <w:marLeft w:val="0"/>
      <w:marRight w:val="0"/>
      <w:marTop w:val="0"/>
      <w:marBottom w:val="0"/>
      <w:divBdr>
        <w:top w:val="none" w:sz="0" w:space="0" w:color="auto"/>
        <w:left w:val="none" w:sz="0" w:space="0" w:color="auto"/>
        <w:bottom w:val="none" w:sz="0" w:space="0" w:color="auto"/>
        <w:right w:val="none" w:sz="0" w:space="0" w:color="auto"/>
      </w:divBdr>
    </w:div>
    <w:div w:id="324016684">
      <w:bodyDiv w:val="1"/>
      <w:marLeft w:val="0"/>
      <w:marRight w:val="0"/>
      <w:marTop w:val="0"/>
      <w:marBottom w:val="0"/>
      <w:divBdr>
        <w:top w:val="none" w:sz="0" w:space="0" w:color="auto"/>
        <w:left w:val="none" w:sz="0" w:space="0" w:color="auto"/>
        <w:bottom w:val="none" w:sz="0" w:space="0" w:color="auto"/>
        <w:right w:val="none" w:sz="0" w:space="0" w:color="auto"/>
      </w:divBdr>
      <w:divsChild>
        <w:div w:id="552740444">
          <w:marLeft w:val="360"/>
          <w:marRight w:val="0"/>
          <w:marTop w:val="0"/>
          <w:marBottom w:val="0"/>
          <w:divBdr>
            <w:top w:val="none" w:sz="0" w:space="0" w:color="auto"/>
            <w:left w:val="none" w:sz="0" w:space="0" w:color="auto"/>
            <w:bottom w:val="none" w:sz="0" w:space="0" w:color="auto"/>
            <w:right w:val="none" w:sz="0" w:space="0" w:color="auto"/>
          </w:divBdr>
        </w:div>
        <w:div w:id="1103188574">
          <w:marLeft w:val="360"/>
          <w:marRight w:val="0"/>
          <w:marTop w:val="0"/>
          <w:marBottom w:val="0"/>
          <w:divBdr>
            <w:top w:val="none" w:sz="0" w:space="0" w:color="auto"/>
            <w:left w:val="none" w:sz="0" w:space="0" w:color="auto"/>
            <w:bottom w:val="none" w:sz="0" w:space="0" w:color="auto"/>
            <w:right w:val="none" w:sz="0" w:space="0" w:color="auto"/>
          </w:divBdr>
        </w:div>
        <w:div w:id="1189023608">
          <w:marLeft w:val="360"/>
          <w:marRight w:val="0"/>
          <w:marTop w:val="0"/>
          <w:marBottom w:val="0"/>
          <w:divBdr>
            <w:top w:val="none" w:sz="0" w:space="0" w:color="auto"/>
            <w:left w:val="none" w:sz="0" w:space="0" w:color="auto"/>
            <w:bottom w:val="none" w:sz="0" w:space="0" w:color="auto"/>
            <w:right w:val="none" w:sz="0" w:space="0" w:color="auto"/>
          </w:divBdr>
        </w:div>
        <w:div w:id="1328827425">
          <w:marLeft w:val="360"/>
          <w:marRight w:val="0"/>
          <w:marTop w:val="0"/>
          <w:marBottom w:val="0"/>
          <w:divBdr>
            <w:top w:val="none" w:sz="0" w:space="0" w:color="auto"/>
            <w:left w:val="none" w:sz="0" w:space="0" w:color="auto"/>
            <w:bottom w:val="none" w:sz="0" w:space="0" w:color="auto"/>
            <w:right w:val="none" w:sz="0" w:space="0" w:color="auto"/>
          </w:divBdr>
        </w:div>
        <w:div w:id="1892497257">
          <w:marLeft w:val="360"/>
          <w:marRight w:val="0"/>
          <w:marTop w:val="0"/>
          <w:marBottom w:val="0"/>
          <w:divBdr>
            <w:top w:val="none" w:sz="0" w:space="0" w:color="auto"/>
            <w:left w:val="none" w:sz="0" w:space="0" w:color="auto"/>
            <w:bottom w:val="none" w:sz="0" w:space="0" w:color="auto"/>
            <w:right w:val="none" w:sz="0" w:space="0" w:color="auto"/>
          </w:divBdr>
        </w:div>
        <w:div w:id="2077168388">
          <w:marLeft w:val="360"/>
          <w:marRight w:val="0"/>
          <w:marTop w:val="0"/>
          <w:marBottom w:val="0"/>
          <w:divBdr>
            <w:top w:val="none" w:sz="0" w:space="0" w:color="auto"/>
            <w:left w:val="none" w:sz="0" w:space="0" w:color="auto"/>
            <w:bottom w:val="none" w:sz="0" w:space="0" w:color="auto"/>
            <w:right w:val="none" w:sz="0" w:space="0" w:color="auto"/>
          </w:divBdr>
        </w:div>
      </w:divsChild>
    </w:div>
    <w:div w:id="480654302">
      <w:bodyDiv w:val="1"/>
      <w:marLeft w:val="0"/>
      <w:marRight w:val="0"/>
      <w:marTop w:val="0"/>
      <w:marBottom w:val="0"/>
      <w:divBdr>
        <w:top w:val="none" w:sz="0" w:space="0" w:color="auto"/>
        <w:left w:val="none" w:sz="0" w:space="0" w:color="auto"/>
        <w:bottom w:val="none" w:sz="0" w:space="0" w:color="auto"/>
        <w:right w:val="none" w:sz="0" w:space="0" w:color="auto"/>
      </w:divBdr>
    </w:div>
    <w:div w:id="656110885">
      <w:bodyDiv w:val="1"/>
      <w:marLeft w:val="0"/>
      <w:marRight w:val="0"/>
      <w:marTop w:val="0"/>
      <w:marBottom w:val="0"/>
      <w:divBdr>
        <w:top w:val="none" w:sz="0" w:space="0" w:color="auto"/>
        <w:left w:val="none" w:sz="0" w:space="0" w:color="auto"/>
        <w:bottom w:val="none" w:sz="0" w:space="0" w:color="auto"/>
        <w:right w:val="none" w:sz="0" w:space="0" w:color="auto"/>
      </w:divBdr>
    </w:div>
    <w:div w:id="781456034">
      <w:bodyDiv w:val="1"/>
      <w:marLeft w:val="0"/>
      <w:marRight w:val="0"/>
      <w:marTop w:val="0"/>
      <w:marBottom w:val="0"/>
      <w:divBdr>
        <w:top w:val="none" w:sz="0" w:space="0" w:color="auto"/>
        <w:left w:val="none" w:sz="0" w:space="0" w:color="auto"/>
        <w:bottom w:val="none" w:sz="0" w:space="0" w:color="auto"/>
        <w:right w:val="none" w:sz="0" w:space="0" w:color="auto"/>
      </w:divBdr>
    </w:div>
    <w:div w:id="859930377">
      <w:bodyDiv w:val="1"/>
      <w:marLeft w:val="0"/>
      <w:marRight w:val="0"/>
      <w:marTop w:val="0"/>
      <w:marBottom w:val="0"/>
      <w:divBdr>
        <w:top w:val="none" w:sz="0" w:space="0" w:color="auto"/>
        <w:left w:val="none" w:sz="0" w:space="0" w:color="auto"/>
        <w:bottom w:val="none" w:sz="0" w:space="0" w:color="auto"/>
        <w:right w:val="none" w:sz="0" w:space="0" w:color="auto"/>
      </w:divBdr>
    </w:div>
    <w:div w:id="891042420">
      <w:bodyDiv w:val="1"/>
      <w:marLeft w:val="0"/>
      <w:marRight w:val="0"/>
      <w:marTop w:val="0"/>
      <w:marBottom w:val="0"/>
      <w:divBdr>
        <w:top w:val="none" w:sz="0" w:space="0" w:color="auto"/>
        <w:left w:val="none" w:sz="0" w:space="0" w:color="auto"/>
        <w:bottom w:val="none" w:sz="0" w:space="0" w:color="auto"/>
        <w:right w:val="none" w:sz="0" w:space="0" w:color="auto"/>
      </w:divBdr>
    </w:div>
    <w:div w:id="935552118">
      <w:bodyDiv w:val="1"/>
      <w:marLeft w:val="0"/>
      <w:marRight w:val="0"/>
      <w:marTop w:val="0"/>
      <w:marBottom w:val="0"/>
      <w:divBdr>
        <w:top w:val="none" w:sz="0" w:space="0" w:color="auto"/>
        <w:left w:val="none" w:sz="0" w:space="0" w:color="auto"/>
        <w:bottom w:val="none" w:sz="0" w:space="0" w:color="auto"/>
        <w:right w:val="none" w:sz="0" w:space="0" w:color="auto"/>
      </w:divBdr>
    </w:div>
    <w:div w:id="962731015">
      <w:bodyDiv w:val="1"/>
      <w:marLeft w:val="0"/>
      <w:marRight w:val="0"/>
      <w:marTop w:val="0"/>
      <w:marBottom w:val="0"/>
      <w:divBdr>
        <w:top w:val="none" w:sz="0" w:space="0" w:color="auto"/>
        <w:left w:val="none" w:sz="0" w:space="0" w:color="auto"/>
        <w:bottom w:val="none" w:sz="0" w:space="0" w:color="auto"/>
        <w:right w:val="none" w:sz="0" w:space="0" w:color="auto"/>
      </w:divBdr>
    </w:div>
    <w:div w:id="1005405095">
      <w:bodyDiv w:val="1"/>
      <w:marLeft w:val="0"/>
      <w:marRight w:val="0"/>
      <w:marTop w:val="0"/>
      <w:marBottom w:val="0"/>
      <w:divBdr>
        <w:top w:val="none" w:sz="0" w:space="0" w:color="auto"/>
        <w:left w:val="none" w:sz="0" w:space="0" w:color="auto"/>
        <w:bottom w:val="none" w:sz="0" w:space="0" w:color="auto"/>
        <w:right w:val="none" w:sz="0" w:space="0" w:color="auto"/>
      </w:divBdr>
    </w:div>
    <w:div w:id="1569682095">
      <w:bodyDiv w:val="1"/>
      <w:marLeft w:val="0"/>
      <w:marRight w:val="0"/>
      <w:marTop w:val="0"/>
      <w:marBottom w:val="0"/>
      <w:divBdr>
        <w:top w:val="none" w:sz="0" w:space="0" w:color="auto"/>
        <w:left w:val="none" w:sz="0" w:space="0" w:color="auto"/>
        <w:bottom w:val="none" w:sz="0" w:space="0" w:color="auto"/>
        <w:right w:val="none" w:sz="0" w:space="0" w:color="auto"/>
      </w:divBdr>
    </w:div>
    <w:div w:id="1583491065">
      <w:bodyDiv w:val="1"/>
      <w:marLeft w:val="0"/>
      <w:marRight w:val="0"/>
      <w:marTop w:val="0"/>
      <w:marBottom w:val="0"/>
      <w:divBdr>
        <w:top w:val="none" w:sz="0" w:space="0" w:color="auto"/>
        <w:left w:val="none" w:sz="0" w:space="0" w:color="auto"/>
        <w:bottom w:val="none" w:sz="0" w:space="0" w:color="auto"/>
        <w:right w:val="none" w:sz="0" w:space="0" w:color="auto"/>
      </w:divBdr>
    </w:div>
    <w:div w:id="1594510062">
      <w:bodyDiv w:val="1"/>
      <w:marLeft w:val="0"/>
      <w:marRight w:val="0"/>
      <w:marTop w:val="0"/>
      <w:marBottom w:val="0"/>
      <w:divBdr>
        <w:top w:val="none" w:sz="0" w:space="0" w:color="auto"/>
        <w:left w:val="none" w:sz="0" w:space="0" w:color="auto"/>
        <w:bottom w:val="none" w:sz="0" w:space="0" w:color="auto"/>
        <w:right w:val="none" w:sz="0" w:space="0" w:color="auto"/>
      </w:divBdr>
      <w:divsChild>
        <w:div w:id="281884498">
          <w:marLeft w:val="806"/>
          <w:marRight w:val="0"/>
          <w:marTop w:val="75"/>
          <w:marBottom w:val="0"/>
          <w:divBdr>
            <w:top w:val="none" w:sz="0" w:space="0" w:color="auto"/>
            <w:left w:val="none" w:sz="0" w:space="0" w:color="auto"/>
            <w:bottom w:val="none" w:sz="0" w:space="0" w:color="auto"/>
            <w:right w:val="none" w:sz="0" w:space="0" w:color="auto"/>
          </w:divBdr>
        </w:div>
        <w:div w:id="582448442">
          <w:marLeft w:val="806"/>
          <w:marRight w:val="0"/>
          <w:marTop w:val="75"/>
          <w:marBottom w:val="0"/>
          <w:divBdr>
            <w:top w:val="none" w:sz="0" w:space="0" w:color="auto"/>
            <w:left w:val="none" w:sz="0" w:space="0" w:color="auto"/>
            <w:bottom w:val="none" w:sz="0" w:space="0" w:color="auto"/>
            <w:right w:val="none" w:sz="0" w:space="0" w:color="auto"/>
          </w:divBdr>
        </w:div>
        <w:div w:id="888607943">
          <w:marLeft w:val="806"/>
          <w:marRight w:val="0"/>
          <w:marTop w:val="75"/>
          <w:marBottom w:val="0"/>
          <w:divBdr>
            <w:top w:val="none" w:sz="0" w:space="0" w:color="auto"/>
            <w:left w:val="none" w:sz="0" w:space="0" w:color="auto"/>
            <w:bottom w:val="none" w:sz="0" w:space="0" w:color="auto"/>
            <w:right w:val="none" w:sz="0" w:space="0" w:color="auto"/>
          </w:divBdr>
        </w:div>
        <w:div w:id="1004823226">
          <w:marLeft w:val="806"/>
          <w:marRight w:val="0"/>
          <w:marTop w:val="75"/>
          <w:marBottom w:val="0"/>
          <w:divBdr>
            <w:top w:val="none" w:sz="0" w:space="0" w:color="auto"/>
            <w:left w:val="none" w:sz="0" w:space="0" w:color="auto"/>
            <w:bottom w:val="none" w:sz="0" w:space="0" w:color="auto"/>
            <w:right w:val="none" w:sz="0" w:space="0" w:color="auto"/>
          </w:divBdr>
        </w:div>
      </w:divsChild>
    </w:div>
    <w:div w:id="1939018198">
      <w:bodyDiv w:val="1"/>
      <w:marLeft w:val="0"/>
      <w:marRight w:val="0"/>
      <w:marTop w:val="0"/>
      <w:marBottom w:val="0"/>
      <w:divBdr>
        <w:top w:val="none" w:sz="0" w:space="0" w:color="auto"/>
        <w:left w:val="none" w:sz="0" w:space="0" w:color="auto"/>
        <w:bottom w:val="none" w:sz="0" w:space="0" w:color="auto"/>
        <w:right w:val="none" w:sz="0" w:space="0" w:color="auto"/>
      </w:divBdr>
    </w:div>
    <w:div w:id="213131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oranski@sonoma.edu"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hompska\Documents\1_Work\1_DAA%20files\1_WASC\1_WASC%20follow-up%20report\Rec_5_IT%20Strategic%20Plan\CTET\CTET%20Impact%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Faculty Served</a:t>
            </a:r>
            <a:r>
              <a:rPr lang="en-US" b="1" baseline="0"/>
              <a:t> by CTET</a:t>
            </a:r>
          </a:p>
          <a:p>
            <a:pPr>
              <a:defRPr/>
            </a:pPr>
            <a:r>
              <a:rPr lang="en-US" baseline="0"/>
              <a:t>2019-20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cked"/>
        <c:varyColors val="0"/>
        <c:ser>
          <c:idx val="0"/>
          <c:order val="0"/>
          <c:tx>
            <c:strRef>
              <c:f>Sheet1!$B$1</c:f>
              <c:strCache>
                <c:ptCount val="1"/>
                <c:pt idx="0">
                  <c:v>CTET Support Tickets and Drop-In Consultations</c:v>
                </c:pt>
              </c:strCache>
            </c:strRef>
          </c:tx>
          <c:spPr>
            <a:ln w="28575" cap="rnd">
              <a:solidFill>
                <a:schemeClr val="accent1"/>
              </a:solidFill>
              <a:round/>
            </a:ln>
            <a:effectLst/>
          </c:spPr>
          <c:marker>
            <c:symbol val="none"/>
          </c:marker>
          <c:cat>
            <c:numRef>
              <c:f>Sheet1!$A$2:$A$15</c:f>
              <c:numCache>
                <c:formatCode>mmm\-yy</c:formatCode>
                <c:ptCount val="14"/>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pt idx="13">
                  <c:v>44044</c:v>
                </c:pt>
              </c:numCache>
            </c:numRef>
          </c:cat>
          <c:val>
            <c:numRef>
              <c:f>Sheet1!$B$2:$B$15</c:f>
              <c:numCache>
                <c:formatCode>General</c:formatCode>
                <c:ptCount val="14"/>
                <c:pt idx="0">
                  <c:v>49</c:v>
                </c:pt>
                <c:pt idx="1">
                  <c:v>112</c:v>
                </c:pt>
                <c:pt idx="2">
                  <c:v>44</c:v>
                </c:pt>
                <c:pt idx="3">
                  <c:v>42</c:v>
                </c:pt>
                <c:pt idx="4">
                  <c:v>48</c:v>
                </c:pt>
                <c:pt idx="5">
                  <c:v>68</c:v>
                </c:pt>
                <c:pt idx="6">
                  <c:v>158</c:v>
                </c:pt>
                <c:pt idx="7">
                  <c:v>35</c:v>
                </c:pt>
                <c:pt idx="8">
                  <c:v>464</c:v>
                </c:pt>
                <c:pt idx="9">
                  <c:v>263</c:v>
                </c:pt>
                <c:pt idx="10">
                  <c:v>205</c:v>
                </c:pt>
                <c:pt idx="11">
                  <c:v>208</c:v>
                </c:pt>
                <c:pt idx="12">
                  <c:v>244</c:v>
                </c:pt>
                <c:pt idx="13">
                  <c:v>732</c:v>
                </c:pt>
              </c:numCache>
            </c:numRef>
          </c:val>
          <c:smooth val="0"/>
          <c:extLst>
            <c:ext xmlns:c16="http://schemas.microsoft.com/office/drawing/2014/chart" uri="{C3380CC4-5D6E-409C-BE32-E72D297353CC}">
              <c16:uniqueId val="{00000000-E407-A54B-B3CE-C353673FF5F4}"/>
            </c:ext>
          </c:extLst>
        </c:ser>
        <c:ser>
          <c:idx val="1"/>
          <c:order val="1"/>
          <c:tx>
            <c:strRef>
              <c:f>Sheet1!$C$1</c:f>
              <c:strCache>
                <c:ptCount val="1"/>
                <c:pt idx="0">
                  <c:v>CTET Workshop RSVPs</c:v>
                </c:pt>
              </c:strCache>
            </c:strRef>
          </c:tx>
          <c:spPr>
            <a:ln w="28575" cap="rnd">
              <a:solidFill>
                <a:schemeClr val="accent2"/>
              </a:solidFill>
              <a:round/>
            </a:ln>
            <a:effectLst/>
          </c:spPr>
          <c:marker>
            <c:symbol val="none"/>
          </c:marker>
          <c:cat>
            <c:numRef>
              <c:f>Sheet1!$A$2:$A$15</c:f>
              <c:numCache>
                <c:formatCode>mmm\-yy</c:formatCode>
                <c:ptCount val="14"/>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pt idx="13">
                  <c:v>44044</c:v>
                </c:pt>
              </c:numCache>
            </c:numRef>
          </c:cat>
          <c:val>
            <c:numRef>
              <c:f>Sheet1!$C$2:$C$15</c:f>
              <c:numCache>
                <c:formatCode>General</c:formatCode>
                <c:ptCount val="14"/>
                <c:pt idx="0">
                  <c:v>6</c:v>
                </c:pt>
                <c:pt idx="1">
                  <c:v>12</c:v>
                </c:pt>
                <c:pt idx="2">
                  <c:v>0</c:v>
                </c:pt>
                <c:pt idx="3">
                  <c:v>2</c:v>
                </c:pt>
                <c:pt idx="4">
                  <c:v>0</c:v>
                </c:pt>
                <c:pt idx="5">
                  <c:v>0</c:v>
                </c:pt>
                <c:pt idx="6">
                  <c:v>16</c:v>
                </c:pt>
                <c:pt idx="7">
                  <c:v>29</c:v>
                </c:pt>
                <c:pt idx="8">
                  <c:v>45</c:v>
                </c:pt>
                <c:pt idx="9">
                  <c:v>136</c:v>
                </c:pt>
                <c:pt idx="10">
                  <c:v>22</c:v>
                </c:pt>
                <c:pt idx="11">
                  <c:v>286</c:v>
                </c:pt>
                <c:pt idx="12">
                  <c:v>258</c:v>
                </c:pt>
                <c:pt idx="13">
                  <c:v>85</c:v>
                </c:pt>
              </c:numCache>
            </c:numRef>
          </c:val>
          <c:smooth val="0"/>
          <c:extLst>
            <c:ext xmlns:c16="http://schemas.microsoft.com/office/drawing/2014/chart" uri="{C3380CC4-5D6E-409C-BE32-E72D297353CC}">
              <c16:uniqueId val="{00000001-E407-A54B-B3CE-C353673FF5F4}"/>
            </c:ext>
          </c:extLst>
        </c:ser>
        <c:ser>
          <c:idx val="2"/>
          <c:order val="2"/>
          <c:tx>
            <c:strRef>
              <c:f>Sheet1!$D$1</c:f>
              <c:strCache>
                <c:ptCount val="1"/>
                <c:pt idx="0">
                  <c:v>Intensive Faculty Programming</c:v>
                </c:pt>
              </c:strCache>
            </c:strRef>
          </c:tx>
          <c:spPr>
            <a:ln w="28575" cap="rnd">
              <a:solidFill>
                <a:schemeClr val="accent3"/>
              </a:solidFill>
              <a:round/>
            </a:ln>
            <a:effectLst/>
          </c:spPr>
          <c:marker>
            <c:symbol val="none"/>
          </c:marker>
          <c:cat>
            <c:numRef>
              <c:f>Sheet1!$A$2:$A$15</c:f>
              <c:numCache>
                <c:formatCode>mmm\-yy</c:formatCode>
                <c:ptCount val="14"/>
                <c:pt idx="0">
                  <c:v>43647</c:v>
                </c:pt>
                <c:pt idx="1">
                  <c:v>43678</c:v>
                </c:pt>
                <c:pt idx="2">
                  <c:v>43709</c:v>
                </c:pt>
                <c:pt idx="3">
                  <c:v>43739</c:v>
                </c:pt>
                <c:pt idx="4">
                  <c:v>43770</c:v>
                </c:pt>
                <c:pt idx="5">
                  <c:v>43800</c:v>
                </c:pt>
                <c:pt idx="6">
                  <c:v>43831</c:v>
                </c:pt>
                <c:pt idx="7">
                  <c:v>43862</c:v>
                </c:pt>
                <c:pt idx="8">
                  <c:v>43891</c:v>
                </c:pt>
                <c:pt idx="9">
                  <c:v>43922</c:v>
                </c:pt>
                <c:pt idx="10">
                  <c:v>43952</c:v>
                </c:pt>
                <c:pt idx="11">
                  <c:v>43983</c:v>
                </c:pt>
                <c:pt idx="12">
                  <c:v>44013</c:v>
                </c:pt>
                <c:pt idx="13">
                  <c:v>44044</c:v>
                </c:pt>
              </c:numCache>
            </c:numRef>
          </c:cat>
          <c:val>
            <c:numRef>
              <c:f>Sheet1!$D$2:$D$15</c:f>
              <c:numCache>
                <c:formatCode>General</c:formatCode>
                <c:ptCount val="14"/>
                <c:pt idx="0">
                  <c:v>6</c:v>
                </c:pt>
                <c:pt idx="2">
                  <c:v>9</c:v>
                </c:pt>
                <c:pt idx="6">
                  <c:v>22</c:v>
                </c:pt>
                <c:pt idx="11">
                  <c:v>94</c:v>
                </c:pt>
                <c:pt idx="12">
                  <c:v>103</c:v>
                </c:pt>
                <c:pt idx="13">
                  <c:v>58</c:v>
                </c:pt>
              </c:numCache>
            </c:numRef>
          </c:val>
          <c:smooth val="0"/>
          <c:extLst>
            <c:ext xmlns:c16="http://schemas.microsoft.com/office/drawing/2014/chart" uri="{C3380CC4-5D6E-409C-BE32-E72D297353CC}">
              <c16:uniqueId val="{00000002-E407-A54B-B3CE-C353673FF5F4}"/>
            </c:ext>
          </c:extLst>
        </c:ser>
        <c:dLbls>
          <c:showLegendKey val="0"/>
          <c:showVal val="0"/>
          <c:showCatName val="0"/>
          <c:showSerName val="0"/>
          <c:showPercent val="0"/>
          <c:showBubbleSize val="0"/>
        </c:dLbls>
        <c:smooth val="0"/>
        <c:axId val="419360016"/>
        <c:axId val="419355024"/>
      </c:lineChart>
      <c:dateAx>
        <c:axId val="4193600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355024"/>
        <c:crosses val="autoZero"/>
        <c:auto val="1"/>
        <c:lblOffset val="100"/>
        <c:baseTimeUnit val="months"/>
      </c:dateAx>
      <c:valAx>
        <c:axId val="419355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9360016"/>
        <c:crosses val="autoZero"/>
        <c:crossBetween val="between"/>
      </c:valAx>
      <c:spPr>
        <a:noFill/>
        <a:ln w="12700">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D0D3F-8D16-4DE3-BCF9-D1DB199C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54</Pages>
  <Words>15530</Words>
  <Characters>88525</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103848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Katie Musick</cp:lastModifiedBy>
  <cp:revision>8</cp:revision>
  <cp:lastPrinted>2020-12-18T23:48:00Z</cp:lastPrinted>
  <dcterms:created xsi:type="dcterms:W3CDTF">2021-02-03T19:15:00Z</dcterms:created>
  <dcterms:modified xsi:type="dcterms:W3CDTF">2021-02-04T18:07:00Z</dcterms:modified>
</cp:coreProperties>
</file>